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038D" w:rsidRPr="002D7706" w:rsidRDefault="0027038D" w:rsidP="0027038D">
      <w:pPr>
        <w:pStyle w:val="Heading2"/>
        <w:spacing w:before="0"/>
        <w:rPr>
          <w:rFonts w:cstheme="minorHAnsi"/>
          <w:szCs w:val="24"/>
          <w:lang w:val="en-US"/>
        </w:rPr>
      </w:pPr>
      <w:r w:rsidRPr="002D7706">
        <w:rPr>
          <w:rFonts w:cstheme="minorHAnsi"/>
          <w:szCs w:val="24"/>
          <w:lang w:val="en-US"/>
        </w:rPr>
        <w:t>Theosis (Deification)</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To the evangelical mind</w:t>
      </w:r>
      <w:r>
        <w:rPr>
          <w:rFonts w:asciiTheme="minorHAnsi" w:hAnsiTheme="minorHAnsi" w:cstheme="minorHAnsi"/>
          <w:lang w:val="en-US"/>
        </w:rPr>
        <w:t>,</w:t>
      </w:r>
      <w:r w:rsidRPr="002D7706">
        <w:rPr>
          <w:rFonts w:asciiTheme="minorHAnsi" w:hAnsiTheme="minorHAnsi" w:cstheme="minorHAnsi"/>
          <w:lang w:val="en-US"/>
        </w:rPr>
        <w:t xml:space="preserve"> the idea of “becoming god” is, at best, provocative, and, at worst, heretical. In Eastern Orthodoxy, however, it is the very essence of salvation and the keystone of all theology. In this chapter, we will attempt to reflect on the Orthodox doctrine of “deification,” technically known as “theosis.” Although the entire Orthodox world embraces this doctrine, we will focus, for the most part, on its application in Russian Orthodoxy, with which the present author is most closely acquainted.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The centrality of theosis in Orthodox thought is widely recognized. Orthodox scholar Georgios Mantzaridis calls it “the ideal of Orthodoxy.”</w:t>
      </w:r>
      <w:r w:rsidRPr="001C18ED">
        <w:rPr>
          <w:rStyle w:val="FootnoteReference"/>
          <w:rFonts w:asciiTheme="minorHAnsi" w:hAnsiTheme="minorHAnsi" w:cstheme="minorHAnsi"/>
          <w:lang w:bidi="he-IL"/>
        </w:rPr>
        <w:footnoteReference w:id="1"/>
      </w:r>
      <w:r w:rsidRPr="002D7706">
        <w:rPr>
          <w:rFonts w:asciiTheme="minorHAnsi" w:hAnsiTheme="minorHAnsi" w:cstheme="minorHAnsi"/>
          <w:lang w:val="en-US"/>
        </w:rPr>
        <w:t xml:space="preserve"> Russian Metropolitan Ilarion Alfeyev considers it “the main feature of Orthodox Christology and soteriology.”</w:t>
      </w:r>
      <w:r w:rsidRPr="001C18ED">
        <w:rPr>
          <w:rStyle w:val="FootnoteReference"/>
          <w:rFonts w:asciiTheme="minorHAnsi" w:hAnsiTheme="minorHAnsi" w:cstheme="minorHAnsi"/>
          <w:lang w:val="en-US"/>
        </w:rPr>
        <w:footnoteReference w:id="2"/>
      </w:r>
      <w:r>
        <w:rPr>
          <w:rFonts w:asciiTheme="minorHAnsi" w:hAnsiTheme="minorHAnsi" w:cstheme="minorHAnsi"/>
          <w:lang w:val="en-US"/>
        </w:rPr>
        <w:t xml:space="preserve"> Russian E</w:t>
      </w:r>
      <w:r w:rsidRPr="002D7706">
        <w:rPr>
          <w:rFonts w:asciiTheme="minorHAnsi" w:hAnsiTheme="minorHAnsi" w:cstheme="minorHAnsi"/>
          <w:lang w:val="en-US"/>
        </w:rPr>
        <w:t>vangelical author Evgeniy Zaitsev comments, “Theosis… is the principle feature of Orthodox theology.”</w:t>
      </w:r>
      <w:r w:rsidRPr="001C18ED">
        <w:rPr>
          <w:rStyle w:val="FootnoteReference"/>
          <w:rFonts w:asciiTheme="minorHAnsi" w:hAnsiTheme="minorHAnsi" w:cstheme="minorHAnsi"/>
          <w:lang w:bidi="he-IL"/>
        </w:rPr>
        <w:footnoteReference w:id="3"/>
      </w:r>
      <w:r w:rsidRPr="002D7706">
        <w:rPr>
          <w:rFonts w:asciiTheme="minorHAnsi" w:hAnsiTheme="minorHAnsi" w:cstheme="minorHAnsi"/>
          <w:lang w:val="en-US"/>
        </w:rPr>
        <w:t xml:space="preserve">  All other aspects of Orthodox theology hinge on it, as Hallonsten points out:</w:t>
      </w:r>
    </w:p>
    <w:p w:rsidR="0027038D" w:rsidRPr="002D7706" w:rsidRDefault="0027038D" w:rsidP="0027038D">
      <w:pPr>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Fonts w:asciiTheme="minorHAnsi" w:hAnsiTheme="minorHAnsi" w:cstheme="minorHAnsi"/>
          <w:lang w:val="en-US"/>
        </w:rPr>
        <w:t>Deification as a doctrine is not solely about the final goal, but is conceived of as a comprehensive doctrine encompassing the whole economy of salvation… It comprises: a certain view of creation, especially of human beings; a soteriology, including the meaning of the Incarnation; a view of Christian life as sanctification connected to the Church and sacraments; and the final goal of union with God.</w:t>
      </w:r>
      <w:r w:rsidRPr="001C18ED">
        <w:rPr>
          <w:rStyle w:val="FootnoteReference"/>
          <w:rFonts w:asciiTheme="minorHAnsi" w:hAnsiTheme="minorHAnsi" w:cstheme="minorHAnsi"/>
          <w:lang w:bidi="he-IL"/>
        </w:rPr>
        <w:footnoteReference w:id="4"/>
      </w:r>
    </w:p>
    <w:p w:rsidR="0027038D" w:rsidRPr="002D7706" w:rsidRDefault="0027038D" w:rsidP="0027038D">
      <w:pPr>
        <w:rPr>
          <w:rFonts w:asciiTheme="minorHAnsi" w:hAnsiTheme="minorHAnsi" w:cstheme="minorHAnsi"/>
          <w:lang w:val="en-US"/>
        </w:rPr>
      </w:pPr>
    </w:p>
    <w:p w:rsidR="0027038D" w:rsidRPr="002D7706" w:rsidRDefault="0027038D" w:rsidP="0027038D">
      <w:pPr>
        <w:pStyle w:val="Heading3"/>
        <w:rPr>
          <w:rFonts w:cstheme="minorHAnsi"/>
          <w:lang w:val="en-US"/>
        </w:rPr>
      </w:pPr>
      <w:r w:rsidRPr="002D7706">
        <w:rPr>
          <w:rFonts w:cstheme="minorHAnsi"/>
          <w:lang w:val="en-US"/>
        </w:rPr>
        <w:t>A. Definition of Theosis</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What exactly is theosis? Before attempting a definition, it is important to recognize that Orthodox believers themselves do not claim to fully understand it – they consider it one of the mysteries o</w:t>
      </w:r>
      <w:r>
        <w:rPr>
          <w:rFonts w:asciiTheme="minorHAnsi" w:hAnsiTheme="minorHAnsi" w:cstheme="minorHAnsi"/>
          <w:lang w:val="en-US"/>
        </w:rPr>
        <w:t>f God. Louth expresses it thus</w:t>
      </w:r>
      <w:r w:rsidRPr="002D7706">
        <w:rPr>
          <w:rFonts w:asciiTheme="minorHAnsi" w:hAnsiTheme="minorHAnsi" w:cstheme="minorHAnsi"/>
          <w:lang w:val="en-US"/>
        </w:rPr>
        <w:t>: “When we speak of becoming partakers of the divine nature, or of becoming God, we are speaking of what we know not, something beyond any human conception.”</w:t>
      </w:r>
      <w:r w:rsidRPr="001C18ED">
        <w:rPr>
          <w:rStyle w:val="FootnoteReference"/>
          <w:rFonts w:asciiTheme="minorHAnsi" w:eastAsia="MS Mincho" w:hAnsiTheme="minorHAnsi" w:cstheme="minorHAnsi"/>
          <w:lang w:eastAsia="ja-JP"/>
        </w:rPr>
        <w:footnoteReference w:id="5"/>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eastAsia="MS Mincho" w:hAnsiTheme="minorHAnsi" w:cstheme="minorHAnsi"/>
          <w:lang w:val="en-US" w:eastAsia="ja-JP"/>
        </w:rPr>
      </w:pPr>
      <w:r w:rsidRPr="002D7706">
        <w:rPr>
          <w:rFonts w:asciiTheme="minorHAnsi" w:hAnsiTheme="minorHAnsi" w:cstheme="minorHAnsi"/>
          <w:lang w:val="en-US"/>
        </w:rPr>
        <w:t>Orthodox believers trace this idea of mystery to the Eastern fathers. Maximus the Confessor (6</w:t>
      </w:r>
      <w:r>
        <w:rPr>
          <w:rFonts w:asciiTheme="minorHAnsi" w:hAnsiTheme="minorHAnsi" w:cstheme="minorHAnsi"/>
          <w:lang w:val="en-US"/>
        </w:rPr>
        <w:t>th</w:t>
      </w:r>
      <w:r w:rsidRPr="002D7706">
        <w:rPr>
          <w:rFonts w:asciiTheme="minorHAnsi" w:hAnsiTheme="minorHAnsi" w:cstheme="minorHAnsi"/>
          <w:lang w:val="en-US"/>
        </w:rPr>
        <w:t>-7</w:t>
      </w:r>
      <w:r>
        <w:rPr>
          <w:rFonts w:asciiTheme="minorHAnsi" w:hAnsiTheme="minorHAnsi" w:cstheme="minorHAnsi"/>
          <w:lang w:val="en-US"/>
        </w:rPr>
        <w:t>th</w:t>
      </w:r>
      <w:r w:rsidRPr="002D7706">
        <w:rPr>
          <w:rFonts w:asciiTheme="minorHAnsi" w:hAnsiTheme="minorHAnsi" w:cstheme="minorHAnsi"/>
          <w:lang w:val="en-US"/>
        </w:rPr>
        <w:t xml:space="preserve"> c.), for example, wrote that union with God “cannot be perceived, conceived or expressed.”</w:t>
      </w:r>
      <w:r w:rsidRPr="001C18ED">
        <w:rPr>
          <w:rStyle w:val="FootnoteReference"/>
          <w:rFonts w:asciiTheme="minorHAnsi" w:hAnsiTheme="minorHAnsi" w:cstheme="minorHAnsi"/>
        </w:rPr>
        <w:footnoteReference w:id="6"/>
      </w:r>
      <w:r w:rsidRPr="002D7706">
        <w:rPr>
          <w:rFonts w:asciiTheme="minorHAnsi" w:hAnsiTheme="minorHAnsi" w:cstheme="minorHAnsi"/>
          <w:lang w:val="en-US"/>
        </w:rPr>
        <w:t xml:space="preserve"> Eastern theologian and mystic Gregory Palamas (14</w:t>
      </w:r>
      <w:r>
        <w:rPr>
          <w:rFonts w:asciiTheme="minorHAnsi" w:hAnsiTheme="minorHAnsi" w:cstheme="minorHAnsi"/>
          <w:lang w:val="en-US"/>
        </w:rPr>
        <w:t>th</w:t>
      </w:r>
      <w:r w:rsidRPr="002D7706">
        <w:rPr>
          <w:rFonts w:asciiTheme="minorHAnsi" w:hAnsiTheme="minorHAnsi" w:cstheme="minorHAnsi"/>
          <w:lang w:val="en-US"/>
        </w:rPr>
        <w:t xml:space="preserve"> </w:t>
      </w:r>
      <w:r w:rsidRPr="002D7706">
        <w:rPr>
          <w:rFonts w:asciiTheme="minorHAnsi" w:hAnsiTheme="minorHAnsi" w:cstheme="minorHAnsi"/>
        </w:rPr>
        <w:t>с</w:t>
      </w:r>
      <w:r w:rsidRPr="002D7706">
        <w:rPr>
          <w:rFonts w:asciiTheme="minorHAnsi" w:hAnsiTheme="minorHAnsi" w:cstheme="minorHAnsi"/>
          <w:lang w:val="en-US"/>
        </w:rPr>
        <w:t>.) explains, “For even when spoken of, deification remains unutterable: as the Fathers say, it can be identified only by those who have been blessed with it.”</w:t>
      </w:r>
      <w:r w:rsidRPr="001C18ED">
        <w:rPr>
          <w:rStyle w:val="FootnoteReference"/>
          <w:rFonts w:asciiTheme="minorHAnsi" w:hAnsiTheme="minorHAnsi" w:cstheme="minorHAnsi"/>
          <w:lang w:bidi="he-IL"/>
        </w:rPr>
        <w:footnoteReference w:id="7"/>
      </w:r>
      <w:r w:rsidRPr="002D7706">
        <w:rPr>
          <w:rFonts w:asciiTheme="minorHAnsi" w:hAnsiTheme="minorHAnsi" w:cstheme="minorHAnsi"/>
          <w:lang w:val="en-US"/>
        </w:rPr>
        <w:t xml:space="preserve"> Gross summarizes, “None of the Greeks who employ the term </w:t>
      </w:r>
      <w:r w:rsidRPr="002D7706">
        <w:rPr>
          <w:rFonts w:asciiTheme="minorHAnsi" w:hAnsiTheme="minorHAnsi" w:cstheme="minorHAnsi"/>
          <w:lang w:val="el-GR"/>
        </w:rPr>
        <w:t>θε</w:t>
      </w:r>
      <w:r w:rsidRPr="002D7706">
        <w:rPr>
          <w:rFonts w:asciiTheme="minorHAnsi" w:hAnsiTheme="minorHAnsi" w:cstheme="minorHAnsi"/>
          <w:lang w:val="en-US"/>
        </w:rPr>
        <w:t>́</w:t>
      </w:r>
      <w:r w:rsidRPr="002D7706">
        <w:rPr>
          <w:rFonts w:asciiTheme="minorHAnsi" w:hAnsiTheme="minorHAnsi" w:cstheme="minorHAnsi"/>
          <w:lang w:val="el-GR"/>
        </w:rPr>
        <w:t>ωσις</w:t>
      </w:r>
      <w:r w:rsidRPr="002D7706">
        <w:rPr>
          <w:rFonts w:asciiTheme="minorHAnsi" w:hAnsiTheme="minorHAnsi" w:cstheme="minorHAnsi"/>
          <w:lang w:val="en-US" w:bidi="he-IL"/>
        </w:rPr>
        <w:t xml:space="preserve"> (</w:t>
      </w:r>
      <w:r w:rsidRPr="002D7706">
        <w:rPr>
          <w:rFonts w:asciiTheme="minorHAnsi" w:hAnsiTheme="minorHAnsi" w:cstheme="minorHAnsi"/>
          <w:i/>
          <w:iCs/>
          <w:lang w:val="en-US" w:bidi="he-IL"/>
        </w:rPr>
        <w:t>theosis</w:t>
      </w:r>
      <w:r w:rsidRPr="002D7706">
        <w:rPr>
          <w:rFonts w:asciiTheme="minorHAnsi" w:hAnsiTheme="minorHAnsi" w:cstheme="minorHAnsi"/>
          <w:lang w:val="en-US" w:bidi="he-IL"/>
        </w:rPr>
        <w:t>) or its equivalents give a definition of it</w:t>
      </w:r>
      <w:r w:rsidRPr="002D7706">
        <w:rPr>
          <w:rFonts w:asciiTheme="minorHAnsi" w:eastAsia="MS Mincho" w:hAnsiTheme="minorHAnsi" w:cstheme="minorHAnsi"/>
          <w:lang w:val="en-US" w:eastAsia="ja-JP"/>
        </w:rPr>
        <w:t>.”</w:t>
      </w:r>
      <w:r w:rsidRPr="001C18ED">
        <w:rPr>
          <w:rStyle w:val="FootnoteReference"/>
          <w:rFonts w:asciiTheme="minorHAnsi" w:eastAsia="MS Mincho" w:hAnsiTheme="minorHAnsi" w:cstheme="minorHAnsi"/>
          <w:lang w:eastAsia="ja-JP"/>
        </w:rPr>
        <w:footnoteReference w:id="8"/>
      </w:r>
      <w:r w:rsidRPr="002D7706">
        <w:rPr>
          <w:rFonts w:asciiTheme="minorHAnsi" w:eastAsia="MS Mincho" w:hAnsiTheme="minorHAnsi" w:cstheme="minorHAnsi"/>
          <w:lang w:val="en-US" w:eastAsia="ja-JP"/>
        </w:rPr>
        <w:t xml:space="preserve"> </w:t>
      </w:r>
    </w:p>
    <w:p w:rsidR="0027038D" w:rsidRPr="002D7706" w:rsidRDefault="0027038D" w:rsidP="0027038D">
      <w:pPr>
        <w:ind w:firstLine="450"/>
        <w:rPr>
          <w:rFonts w:asciiTheme="minorHAnsi" w:eastAsia="MS Mincho" w:hAnsiTheme="minorHAnsi" w:cstheme="minorHAnsi"/>
          <w:lang w:val="en-US" w:eastAsia="ja-JP"/>
        </w:rPr>
      </w:pPr>
      <w:r w:rsidRPr="002D7706">
        <w:rPr>
          <w:rFonts w:asciiTheme="minorHAnsi" w:eastAsia="MS Mincho" w:hAnsiTheme="minorHAnsi" w:cstheme="minorHAnsi"/>
          <w:lang w:val="en-US" w:eastAsia="ja-JP"/>
        </w:rPr>
        <w:t>Nonetheless, since it is impossible to either defend or refute a concept that has no definition, we must press on to attempt a definition in order to assess the legitimacy of this teaching.  Often it is thought that theosis simply means becoming like God.  Keating, for example, describes it this way: “</w:t>
      </w:r>
      <w:r w:rsidRPr="002D7706">
        <w:rPr>
          <w:rFonts w:asciiTheme="minorHAnsi" w:hAnsiTheme="minorHAnsi" w:cstheme="minorHAnsi"/>
          <w:lang w:val="en-US" w:bidi="he-IL"/>
        </w:rPr>
        <w:t>We are ‘sons and daughters in the Son’ and are defined to the degree that we are found in, and transformed into the image of, Christ himself.</w:t>
      </w:r>
      <w:r w:rsidRPr="002D7706">
        <w:rPr>
          <w:rFonts w:asciiTheme="minorHAnsi" w:eastAsia="MS Mincho" w:hAnsiTheme="minorHAnsi" w:cstheme="minorHAnsi"/>
          <w:lang w:val="en-US" w:eastAsia="ja-JP"/>
        </w:rPr>
        <w:t>”</w:t>
      </w:r>
      <w:r w:rsidRPr="001C18ED">
        <w:rPr>
          <w:rStyle w:val="FootnoteReference"/>
          <w:rFonts w:asciiTheme="minorHAnsi" w:eastAsia="MS PGothic" w:hAnsiTheme="minorHAnsi" w:cstheme="minorHAnsi"/>
          <w:lang w:eastAsia="ja-JP"/>
        </w:rPr>
        <w:footnoteReference w:id="9"/>
      </w:r>
      <w:r w:rsidRPr="002D7706">
        <w:rPr>
          <w:rFonts w:asciiTheme="minorHAnsi" w:eastAsia="MS Mincho" w:hAnsiTheme="minorHAnsi" w:cstheme="minorHAnsi"/>
          <w:lang w:val="en-US" w:eastAsia="ja-JP"/>
        </w:rPr>
        <w:t xml:space="preserve"> Yet Orthodox literature hints at a deeper, more profound idea. There we encounter such expressions as “transformation into god” and “changing into a god.”</w:t>
      </w:r>
      <w:r w:rsidRPr="001C18ED">
        <w:rPr>
          <w:rStyle w:val="FootnoteReference"/>
          <w:rFonts w:asciiTheme="minorHAnsi" w:hAnsiTheme="minorHAnsi" w:cstheme="minorHAnsi"/>
        </w:rPr>
        <w:footnoteReference w:id="10"/>
      </w:r>
      <w:r w:rsidRPr="002D7706">
        <w:rPr>
          <w:rFonts w:asciiTheme="minorHAnsi" w:eastAsia="MS Mincho" w:hAnsiTheme="minorHAnsi" w:cstheme="minorHAnsi"/>
          <w:lang w:val="en-US" w:eastAsia="ja-JP"/>
        </w:rPr>
        <w:t xml:space="preserve"> Consequently, we must seek a more precise definition of theosis. </w:t>
      </w:r>
    </w:p>
    <w:p w:rsidR="0027038D" w:rsidRPr="002D7706" w:rsidRDefault="0027038D" w:rsidP="0027038D">
      <w:pPr>
        <w:ind w:firstLine="450"/>
        <w:rPr>
          <w:rFonts w:asciiTheme="minorHAnsi" w:hAnsiTheme="minorHAnsi" w:cstheme="minorHAnsi"/>
          <w:lang w:val="en-US"/>
        </w:rPr>
      </w:pPr>
      <w:r w:rsidRPr="002D7706">
        <w:rPr>
          <w:rFonts w:asciiTheme="minorHAnsi" w:eastAsia="MS Mincho" w:hAnsiTheme="minorHAnsi" w:cstheme="minorHAnsi"/>
          <w:lang w:val="en-US" w:eastAsia="ja-JP"/>
        </w:rPr>
        <w:t xml:space="preserve">The classical expression of theosis is found in the writings of Athanasius (although Irenaeus and others anticipated it). In his famous </w:t>
      </w:r>
      <w:r w:rsidRPr="002D7706">
        <w:rPr>
          <w:rFonts w:asciiTheme="minorHAnsi" w:eastAsia="MS Mincho" w:hAnsiTheme="minorHAnsi" w:cstheme="minorHAnsi"/>
          <w:i/>
          <w:iCs/>
          <w:lang w:val="en-US" w:eastAsia="ja-JP"/>
        </w:rPr>
        <w:t>On the Incarnation of the Word</w:t>
      </w:r>
      <w:r w:rsidRPr="002D7706">
        <w:rPr>
          <w:rFonts w:asciiTheme="minorHAnsi" w:eastAsia="MS Mincho" w:hAnsiTheme="minorHAnsi" w:cstheme="minorHAnsi"/>
          <w:lang w:val="en-US" w:eastAsia="ja-JP"/>
        </w:rPr>
        <w:t>, the bishop of Alexandria pens the following: “He was made man that we might be made God (</w:t>
      </w:r>
      <w:r w:rsidRPr="002D7706">
        <w:rPr>
          <w:rFonts w:asciiTheme="minorHAnsi" w:hAnsiTheme="minorHAnsi" w:cstheme="minorHAnsi"/>
          <w:lang w:val="el-GR"/>
        </w:rPr>
        <w:t>θεοποιηθῶμεν</w:t>
      </w:r>
      <w:r w:rsidRPr="002D7706">
        <w:rPr>
          <w:rFonts w:asciiTheme="minorHAnsi" w:eastAsia="MS Mincho" w:hAnsiTheme="minorHAnsi" w:cstheme="minorHAnsi"/>
          <w:lang w:val="en-US" w:eastAsia="ja-JP"/>
        </w:rPr>
        <w:t>)</w:t>
      </w:r>
      <w:r>
        <w:rPr>
          <w:rFonts w:asciiTheme="minorHAnsi" w:eastAsia="MS Mincho" w:hAnsiTheme="minorHAnsi" w:cstheme="minorHAnsi"/>
          <w:lang w:val="en-US" w:eastAsia="ja-JP"/>
        </w:rPr>
        <w:t>”</w:t>
      </w:r>
      <w:r w:rsidRPr="00D179FA">
        <w:rPr>
          <w:rFonts w:asciiTheme="minorHAnsi" w:eastAsia="MS Mincho" w:hAnsiTheme="minorHAnsi" w:cstheme="minorHAnsi"/>
          <w:lang w:val="en-US" w:eastAsia="ja-JP"/>
        </w:rPr>
        <w:t xml:space="preserve"> </w:t>
      </w:r>
      <w:r>
        <w:rPr>
          <w:rFonts w:asciiTheme="minorHAnsi" w:eastAsia="MS Mincho" w:hAnsiTheme="minorHAnsi" w:cstheme="minorHAnsi"/>
          <w:lang w:val="en-US" w:eastAsia="ja-JP"/>
        </w:rPr>
        <w:t>(see note below)</w:t>
      </w:r>
      <w:r w:rsidRPr="002D7706">
        <w:rPr>
          <w:rFonts w:asciiTheme="minorHAnsi" w:eastAsia="MS Mincho" w:hAnsiTheme="minorHAnsi" w:cstheme="minorHAnsi"/>
          <w:lang w:val="en-US" w:eastAsia="ja-JP"/>
        </w:rPr>
        <w:t>.</w:t>
      </w:r>
      <w:r w:rsidRPr="001C18ED">
        <w:rPr>
          <w:rStyle w:val="FootnoteReference"/>
          <w:rFonts w:asciiTheme="minorHAnsi" w:hAnsiTheme="minorHAnsi" w:cstheme="minorHAnsi"/>
        </w:rPr>
        <w:footnoteReference w:id="11"/>
      </w:r>
      <w:r w:rsidRPr="002D7706">
        <w:rPr>
          <w:rFonts w:asciiTheme="minorHAnsi" w:eastAsia="MS Mincho" w:hAnsiTheme="minorHAnsi" w:cstheme="minorHAnsi"/>
          <w:lang w:val="en-US" w:eastAsia="ja-JP"/>
        </w:rPr>
        <w:t xml:space="preserve"> Throughout Church history, many Fathers repeated this phraseology.  </w:t>
      </w:r>
    </w:p>
    <w:p w:rsidR="0027038D" w:rsidRPr="002D7706" w:rsidRDefault="0027038D" w:rsidP="0027038D">
      <w:pPr>
        <w:ind w:firstLine="450"/>
        <w:rPr>
          <w:rFonts w:asciiTheme="minorHAnsi" w:eastAsia="MS Mincho" w:hAnsiTheme="minorHAnsi" w:cstheme="minorHAnsi"/>
          <w:lang w:val="en-US" w:eastAsia="ja-JP"/>
        </w:rPr>
      </w:pPr>
      <w:r w:rsidRPr="002D7706">
        <w:rPr>
          <w:rFonts w:asciiTheme="minorHAnsi" w:eastAsia="MS Mincho" w:hAnsiTheme="minorHAnsi" w:cstheme="minorHAnsi"/>
          <w:lang w:val="en-US" w:eastAsia="ja-JP"/>
        </w:rPr>
        <w:t xml:space="preserve">This union with God, as Gross explains it, is not limited to simply a moral union or union of wills between God and man. It involves a union </w:t>
      </w:r>
      <w:r>
        <w:rPr>
          <w:rFonts w:asciiTheme="minorHAnsi" w:eastAsia="MS Mincho" w:hAnsiTheme="minorHAnsi" w:cstheme="minorHAnsi"/>
          <w:lang w:val="en-US" w:eastAsia="ja-JP"/>
        </w:rPr>
        <w:t xml:space="preserve">of natures </w:t>
      </w:r>
      <w:r w:rsidRPr="002D7706">
        <w:rPr>
          <w:rFonts w:asciiTheme="minorHAnsi" w:eastAsia="MS Mincho" w:hAnsiTheme="minorHAnsi" w:cstheme="minorHAnsi"/>
          <w:lang w:val="en-US" w:eastAsia="ja-JP"/>
        </w:rPr>
        <w:t>that can be described as “</w:t>
      </w:r>
      <w:r w:rsidRPr="002D7706">
        <w:rPr>
          <w:rFonts w:asciiTheme="minorHAnsi" w:hAnsiTheme="minorHAnsi" w:cstheme="minorHAnsi"/>
          <w:lang w:val="en-US" w:bidi="he-IL"/>
        </w:rPr>
        <w:t>a veritable partaking of the divine nature and of divine life</w:t>
      </w:r>
      <w:r>
        <w:rPr>
          <w:rFonts w:asciiTheme="minorHAnsi" w:hAnsiTheme="minorHAnsi" w:cstheme="minorHAnsi"/>
          <w:lang w:val="en-US" w:bidi="he-IL"/>
        </w:rPr>
        <w:t>.</w:t>
      </w:r>
      <w:r w:rsidRPr="002D7706">
        <w:rPr>
          <w:rFonts w:asciiTheme="minorHAnsi" w:eastAsia="MS Mincho" w:hAnsiTheme="minorHAnsi" w:cstheme="minorHAnsi"/>
          <w:lang w:val="en-US" w:eastAsia="ja-JP"/>
        </w:rPr>
        <w:t>”</w:t>
      </w:r>
      <w:r w:rsidRPr="001C18ED">
        <w:rPr>
          <w:rStyle w:val="FootnoteReference"/>
          <w:rFonts w:asciiTheme="minorHAnsi" w:hAnsiTheme="minorHAnsi" w:cstheme="minorHAnsi"/>
          <w:lang w:bidi="he-IL"/>
        </w:rPr>
        <w:footnoteReference w:id="12"/>
      </w:r>
      <w:r w:rsidRPr="002D7706">
        <w:rPr>
          <w:rFonts w:asciiTheme="minorHAnsi" w:eastAsia="MS Mincho" w:hAnsiTheme="minorHAnsi" w:cstheme="minorHAnsi"/>
          <w:lang w:val="en-US" w:eastAsia="ja-JP"/>
        </w:rPr>
        <w:t xml:space="preserve">  </w:t>
      </w:r>
    </w:p>
    <w:p w:rsidR="0027038D" w:rsidRPr="002D7706" w:rsidRDefault="0027038D" w:rsidP="0027038D">
      <w:pPr>
        <w:ind w:firstLine="450"/>
        <w:rPr>
          <w:rFonts w:asciiTheme="minorHAnsi" w:eastAsia="MS Mincho" w:hAnsiTheme="minorHAnsi" w:cstheme="minorHAnsi"/>
          <w:lang w:val="en-US" w:eastAsia="ja-JP" w:bidi="he-IL"/>
        </w:rPr>
      </w:pPr>
      <w:r w:rsidRPr="002D7706">
        <w:rPr>
          <w:rFonts w:asciiTheme="minorHAnsi" w:eastAsia="MS Mincho" w:hAnsiTheme="minorHAnsi" w:cstheme="minorHAnsi"/>
          <w:lang w:val="en-US" w:eastAsia="ja-JP"/>
        </w:rPr>
        <w:t xml:space="preserve">Yet adherents of theosis are quick to point out that this union with God is not absolute, but relative. Here they draw a significant distinction in the nature of the Godhead between God’s “essence” and His “energies.” God essence is unfathomable and unknowable. It is unique only to Him and He never communicates it to His creatures. God’s energies, however, relate to how He acts in the world and reveals Himself to people. The “attributes” of God, which are employed in cataphatic theology to describe God’s nature, </w:t>
      </w:r>
      <w:r w:rsidRPr="002D7706">
        <w:rPr>
          <w:rFonts w:asciiTheme="minorHAnsi" w:eastAsia="MS Mincho" w:hAnsiTheme="minorHAnsi" w:cstheme="minorHAnsi"/>
          <w:lang w:val="en-US" w:eastAsia="ja-JP" w:bidi="he-IL"/>
        </w:rPr>
        <w:t xml:space="preserve">relate </w:t>
      </w:r>
      <w:r w:rsidRPr="002D7706">
        <w:rPr>
          <w:rFonts w:asciiTheme="minorHAnsi" w:eastAsia="MS Mincho" w:hAnsiTheme="minorHAnsi" w:cstheme="minorHAnsi"/>
          <w:lang w:val="en-US" w:eastAsia="ja-JP"/>
        </w:rPr>
        <w:t xml:space="preserve">in apophatic theology </w:t>
      </w:r>
      <w:r w:rsidRPr="002D7706">
        <w:rPr>
          <w:rFonts w:asciiTheme="minorHAnsi" w:eastAsia="MS Mincho" w:hAnsiTheme="minorHAnsi" w:cstheme="minorHAnsi"/>
          <w:lang w:val="en-US" w:eastAsia="ja-JP" w:bidi="he-IL"/>
        </w:rPr>
        <w:t xml:space="preserve">only to God’s energies, but not to His essence. God’s essence in shrouded in transcendent mystery.  </w:t>
      </w:r>
    </w:p>
    <w:p w:rsidR="0027038D" w:rsidRPr="002D7706" w:rsidRDefault="0027038D" w:rsidP="0027038D">
      <w:pPr>
        <w:ind w:firstLine="450"/>
        <w:rPr>
          <w:rFonts w:asciiTheme="minorHAnsi" w:hAnsiTheme="minorHAnsi" w:cstheme="minorHAnsi"/>
          <w:lang w:val="en-US"/>
        </w:rPr>
      </w:pPr>
      <w:r w:rsidRPr="002D7706">
        <w:rPr>
          <w:rFonts w:asciiTheme="minorHAnsi" w:eastAsia="MS Mincho" w:hAnsiTheme="minorHAnsi" w:cstheme="minorHAnsi"/>
          <w:lang w:val="en-US" w:eastAsia="ja-JP" w:bidi="he-IL"/>
        </w:rPr>
        <w:t>Theosis, then, is union with God in His energies, but not in His essence. To describe this relative union with God</w:t>
      </w:r>
      <w:r>
        <w:rPr>
          <w:rFonts w:asciiTheme="minorHAnsi" w:eastAsia="MS Mincho" w:hAnsiTheme="minorHAnsi" w:cstheme="minorHAnsi"/>
          <w:lang w:val="en-US" w:eastAsia="ja-JP" w:bidi="he-IL"/>
        </w:rPr>
        <w:t>,</w:t>
      </w:r>
      <w:r w:rsidRPr="002D7706">
        <w:rPr>
          <w:rFonts w:asciiTheme="minorHAnsi" w:eastAsia="MS Mincho" w:hAnsiTheme="minorHAnsi" w:cstheme="minorHAnsi"/>
          <w:lang w:val="en-US" w:eastAsia="ja-JP" w:bidi="he-IL"/>
        </w:rPr>
        <w:t xml:space="preserve"> adherents of theosis employ the phrase “deified by grace.” So then, in theosis a person becomes god not “by nature” (union with His essence), but “by grace” (union with His energies).</w:t>
      </w:r>
      <w:r w:rsidRPr="001C18ED">
        <w:rPr>
          <w:rStyle w:val="FootnoteReference"/>
          <w:rFonts w:asciiTheme="minorHAnsi" w:hAnsiTheme="minorHAnsi" w:cstheme="minorHAnsi"/>
          <w:lang w:bidi="he-IL"/>
        </w:rPr>
        <w:footnoteReference w:id="13"/>
      </w:r>
      <w:r w:rsidRPr="002D7706">
        <w:rPr>
          <w:rFonts w:asciiTheme="minorHAnsi" w:eastAsia="MS Mincho" w:hAnsiTheme="minorHAnsi" w:cstheme="minorHAnsi"/>
          <w:lang w:val="en-US" w:eastAsia="ja-JP" w:bidi="he-IL"/>
        </w:rPr>
        <w:t xml:space="preserve"> John of Damascus (7</w:t>
      </w:r>
      <w:r>
        <w:rPr>
          <w:rFonts w:asciiTheme="minorHAnsi" w:eastAsia="MS Mincho" w:hAnsiTheme="minorHAnsi" w:cstheme="minorHAnsi"/>
          <w:lang w:val="en-US" w:eastAsia="ja-JP" w:bidi="he-IL"/>
        </w:rPr>
        <w:t>th</w:t>
      </w:r>
      <w:r w:rsidRPr="002D7706">
        <w:rPr>
          <w:rFonts w:asciiTheme="minorHAnsi" w:eastAsia="MS Mincho" w:hAnsiTheme="minorHAnsi" w:cstheme="minorHAnsi"/>
          <w:lang w:val="en-US" w:eastAsia="ja-JP" w:bidi="he-IL"/>
        </w:rPr>
        <w:t>-8</w:t>
      </w:r>
      <w:r>
        <w:rPr>
          <w:rFonts w:asciiTheme="minorHAnsi" w:eastAsia="MS Mincho" w:hAnsiTheme="minorHAnsi" w:cstheme="minorHAnsi"/>
          <w:lang w:val="en-US" w:eastAsia="ja-JP" w:bidi="he-IL"/>
        </w:rPr>
        <w:t>th</w:t>
      </w:r>
      <w:r w:rsidRPr="002D7706">
        <w:rPr>
          <w:rFonts w:asciiTheme="minorHAnsi" w:eastAsia="MS Mincho" w:hAnsiTheme="minorHAnsi" w:cstheme="minorHAnsi"/>
          <w:lang w:val="en-US" w:eastAsia="ja-JP" w:bidi="he-IL"/>
        </w:rPr>
        <w:t xml:space="preserve"> c.) regards theosis as “</w:t>
      </w:r>
      <w:r w:rsidRPr="002D7706">
        <w:rPr>
          <w:rFonts w:asciiTheme="minorHAnsi" w:hAnsiTheme="minorHAnsi" w:cstheme="minorHAnsi"/>
          <w:lang w:val="en-US" w:eastAsia="en-US" w:bidi="he-IL"/>
        </w:rPr>
        <w:t>the way of participating in the divine glory and not in that of a change into the divine being.</w:t>
      </w:r>
      <w:r w:rsidRPr="002D7706">
        <w:rPr>
          <w:rFonts w:asciiTheme="minorHAnsi" w:eastAsia="MS Mincho" w:hAnsiTheme="minorHAnsi" w:cstheme="minorHAnsi"/>
          <w:lang w:val="en-US" w:eastAsia="ja-JP" w:bidi="he-IL"/>
        </w:rPr>
        <w:t>”</w:t>
      </w:r>
      <w:r w:rsidRPr="001C18ED">
        <w:rPr>
          <w:rStyle w:val="FootnoteReference"/>
          <w:rFonts w:asciiTheme="minorHAnsi" w:hAnsiTheme="minorHAnsi" w:cstheme="minorHAnsi"/>
        </w:rPr>
        <w:footnoteReference w:id="14"/>
      </w:r>
      <w:r w:rsidRPr="002D7706">
        <w:rPr>
          <w:rFonts w:asciiTheme="minorHAnsi" w:eastAsia="MS Mincho" w:hAnsiTheme="minorHAnsi" w:cstheme="minorHAnsi"/>
          <w:lang w:val="en-US" w:eastAsia="ja-JP" w:bidi="he-IL"/>
        </w:rPr>
        <w:t xml:space="preserve"> Ilarion echoes this thought, “A person, reflecting on God, does not merge with the essence of his Object of reflection, but becomes a participant in His energy.”</w:t>
      </w:r>
      <w:r w:rsidRPr="001C18ED">
        <w:rPr>
          <w:rStyle w:val="FootnoteReference"/>
          <w:rFonts w:asciiTheme="minorHAnsi" w:hAnsiTheme="minorHAnsi" w:cstheme="minorHAnsi"/>
        </w:rPr>
        <w:footnoteReference w:id="15"/>
      </w:r>
      <w:r w:rsidRPr="002D7706">
        <w:rPr>
          <w:rFonts w:asciiTheme="minorHAnsi" w:eastAsia="MS Mincho" w:hAnsiTheme="minorHAnsi" w:cstheme="minorHAnsi"/>
          <w:lang w:val="en-US" w:eastAsia="ja-JP" w:bidi="he-IL"/>
        </w:rPr>
        <w:t xml:space="preserve"> The Orthodox Study Bible gives the following detailed exposition:  </w:t>
      </w:r>
    </w:p>
    <w:p w:rsidR="0027038D" w:rsidRPr="002D7706" w:rsidRDefault="0027038D" w:rsidP="0027038D">
      <w:pPr>
        <w:ind w:firstLine="450"/>
        <w:rPr>
          <w:rFonts w:asciiTheme="minorHAnsi" w:eastAsia="MS Mincho" w:hAnsiTheme="minorHAnsi" w:cstheme="minorHAnsi"/>
          <w:lang w:val="en-US" w:eastAsia="ja-JP" w:bidi="he-IL"/>
        </w:rPr>
      </w:pPr>
    </w:p>
    <w:p w:rsidR="0027038D" w:rsidRPr="002D7706" w:rsidRDefault="0027038D" w:rsidP="0027038D">
      <w:pPr>
        <w:ind w:left="709"/>
        <w:rPr>
          <w:rFonts w:asciiTheme="minorHAnsi" w:hAnsiTheme="minorHAnsi" w:cstheme="minorHAnsi"/>
          <w:lang w:val="en-US"/>
        </w:rPr>
      </w:pPr>
      <w:r w:rsidRPr="002D7706">
        <w:rPr>
          <w:rFonts w:asciiTheme="minorHAnsi" w:hAnsiTheme="minorHAnsi" w:cstheme="minorHAnsi"/>
          <w:lang w:val="en-US"/>
        </w:rPr>
        <w:t>This does not mean we become divine by nature. If we participated in God's essence, the distinction between God and man would be abolished. What this does mean is that we participate in God's energy, described by a number of terms in scripture such as glory, love, virtue, and power. We are to become like God by His grace, and truly be His adopted children, but never become like God by nature.”</w:t>
      </w:r>
      <w:r w:rsidRPr="001C18ED">
        <w:rPr>
          <w:rStyle w:val="FootnoteReference"/>
          <w:rFonts w:asciiTheme="minorHAnsi" w:eastAsia="MS PGothic" w:hAnsiTheme="minorHAnsi" w:cstheme="minorHAnsi"/>
          <w:lang w:val="en-US" w:eastAsia="ja-JP"/>
        </w:rPr>
        <w:footnoteReference w:id="16"/>
      </w:r>
    </w:p>
    <w:p w:rsidR="0027038D" w:rsidRPr="002D7706" w:rsidRDefault="0027038D" w:rsidP="0027038D">
      <w:pPr>
        <w:ind w:left="709"/>
        <w:rPr>
          <w:rFonts w:asciiTheme="minorHAnsi" w:eastAsia="MS PGothic" w:hAnsiTheme="minorHAnsi" w:cstheme="minorHAnsi"/>
          <w:lang w:val="en-US" w:eastAsia="ja-JP"/>
        </w:rPr>
      </w:pPr>
    </w:p>
    <w:p w:rsidR="0027038D" w:rsidRPr="002D7706" w:rsidRDefault="0027038D" w:rsidP="0027038D">
      <w:pPr>
        <w:ind w:firstLine="450"/>
        <w:rPr>
          <w:rFonts w:asciiTheme="minorHAnsi" w:eastAsia="MS PGothic" w:hAnsiTheme="minorHAnsi" w:cstheme="minorHAnsi"/>
          <w:lang w:val="en-US" w:eastAsia="ja-JP"/>
        </w:rPr>
      </w:pPr>
      <w:r w:rsidRPr="002D7706">
        <w:rPr>
          <w:rFonts w:asciiTheme="minorHAnsi" w:eastAsia="MS PGothic" w:hAnsiTheme="minorHAnsi" w:cstheme="minorHAnsi"/>
          <w:lang w:val="en-US" w:eastAsia="ja-JP"/>
        </w:rPr>
        <w:t>The process of theosis is sometimes compared to the incarnation of Christ. On the one hand, the divine Son of God took upon Himself a human nature and consequently became one Divine Person with two natures: divine and human. On the other hand, the deified person is infused with divine nature and consequently becomes a human person with two natures, or in the words of Zaitsev, “a human nature, divinized, and a nature, more precisely divine energies, which divinize</w:t>
      </w:r>
      <w:r>
        <w:rPr>
          <w:rFonts w:asciiTheme="minorHAnsi" w:eastAsia="MS PGothic" w:hAnsiTheme="minorHAnsi" w:cstheme="minorHAnsi"/>
          <w:lang w:val="en-US" w:eastAsia="ja-JP"/>
        </w:rPr>
        <w:t>.</w:t>
      </w:r>
      <w:r w:rsidRPr="002D7706">
        <w:rPr>
          <w:rFonts w:asciiTheme="minorHAnsi" w:eastAsia="MS PGothic" w:hAnsiTheme="minorHAnsi" w:cstheme="minorHAnsi"/>
          <w:lang w:val="en-US" w:eastAsia="ja-JP"/>
        </w:rPr>
        <w:t>”</w:t>
      </w:r>
      <w:r w:rsidRPr="001C18ED">
        <w:rPr>
          <w:rStyle w:val="FootnoteReference"/>
          <w:rFonts w:asciiTheme="minorHAnsi" w:hAnsiTheme="minorHAnsi" w:cstheme="minorHAnsi"/>
          <w:lang w:bidi="he-IL"/>
        </w:rPr>
        <w:footnoteReference w:id="17"/>
      </w:r>
      <w:r w:rsidRPr="002D7706">
        <w:rPr>
          <w:rFonts w:asciiTheme="minorHAnsi" w:eastAsia="MS PGothic" w:hAnsiTheme="minorHAnsi" w:cstheme="minorHAnsi"/>
          <w:lang w:val="en-US" w:eastAsia="ja-JP"/>
        </w:rPr>
        <w:t xml:space="preserve"> Yet an important qualification is made: Christ, an eternal </w:t>
      </w:r>
      <w:r w:rsidRPr="002D7706">
        <w:rPr>
          <w:rFonts w:asciiTheme="minorHAnsi" w:eastAsia="MS PGothic" w:hAnsiTheme="minorHAnsi" w:cstheme="minorHAnsi"/>
          <w:i/>
          <w:iCs/>
          <w:lang w:val="en-US" w:eastAsia="ja-JP"/>
        </w:rPr>
        <w:t>Divine</w:t>
      </w:r>
      <w:r w:rsidRPr="002D7706">
        <w:rPr>
          <w:rFonts w:asciiTheme="minorHAnsi" w:eastAsia="MS PGothic" w:hAnsiTheme="minorHAnsi" w:cstheme="minorHAnsi"/>
          <w:lang w:val="en-US" w:eastAsia="ja-JP"/>
        </w:rPr>
        <w:t xml:space="preserve"> </w:t>
      </w:r>
      <w:r w:rsidRPr="002D7706">
        <w:rPr>
          <w:rFonts w:asciiTheme="minorHAnsi" w:eastAsia="MS PGothic" w:hAnsiTheme="minorHAnsi" w:cstheme="minorHAnsi"/>
          <w:i/>
          <w:iCs/>
          <w:lang w:val="en-US" w:eastAsia="ja-JP"/>
        </w:rPr>
        <w:t>Person</w:t>
      </w:r>
      <w:r w:rsidRPr="002D7706">
        <w:rPr>
          <w:rFonts w:asciiTheme="minorHAnsi" w:eastAsia="MS PGothic" w:hAnsiTheme="minorHAnsi" w:cstheme="minorHAnsi"/>
          <w:lang w:val="en-US" w:eastAsia="ja-JP"/>
        </w:rPr>
        <w:t xml:space="preserve">, took upon Himself humanity, while in theosis a </w:t>
      </w:r>
      <w:r w:rsidRPr="002D7706">
        <w:rPr>
          <w:rFonts w:asciiTheme="minorHAnsi" w:eastAsia="MS PGothic" w:hAnsiTheme="minorHAnsi" w:cstheme="minorHAnsi"/>
          <w:i/>
          <w:iCs/>
          <w:lang w:val="en-US" w:eastAsia="ja-JP"/>
        </w:rPr>
        <w:t>human</w:t>
      </w:r>
      <w:r w:rsidRPr="002D7706">
        <w:rPr>
          <w:rFonts w:asciiTheme="minorHAnsi" w:eastAsia="MS PGothic" w:hAnsiTheme="minorHAnsi" w:cstheme="minorHAnsi"/>
          <w:lang w:val="en-US" w:eastAsia="ja-JP"/>
        </w:rPr>
        <w:t xml:space="preserve"> </w:t>
      </w:r>
      <w:r w:rsidRPr="002D7706">
        <w:rPr>
          <w:rFonts w:asciiTheme="minorHAnsi" w:eastAsia="MS PGothic" w:hAnsiTheme="minorHAnsi" w:cstheme="minorHAnsi"/>
          <w:i/>
          <w:iCs/>
          <w:lang w:val="en-US" w:eastAsia="ja-JP"/>
        </w:rPr>
        <w:t>person</w:t>
      </w:r>
      <w:r w:rsidRPr="002D7706">
        <w:rPr>
          <w:rFonts w:asciiTheme="minorHAnsi" w:eastAsia="MS PGothic" w:hAnsiTheme="minorHAnsi" w:cstheme="minorHAnsi"/>
          <w:lang w:val="en-US" w:eastAsia="ja-JP"/>
        </w:rPr>
        <w:t xml:space="preserve"> is infused with divinity. Thus, the distinction between Deity and humanity is maintained. </w:t>
      </w:r>
    </w:p>
    <w:p w:rsidR="0027038D" w:rsidRPr="002D7706" w:rsidRDefault="0027038D" w:rsidP="0027038D">
      <w:pPr>
        <w:ind w:firstLine="450"/>
        <w:rPr>
          <w:rFonts w:asciiTheme="minorHAnsi" w:eastAsia="MS PGothic" w:hAnsiTheme="minorHAnsi" w:cstheme="minorHAnsi"/>
          <w:lang w:val="en-US" w:eastAsia="ja-JP"/>
        </w:rPr>
      </w:pPr>
      <w:r w:rsidRPr="002D7706">
        <w:rPr>
          <w:rFonts w:asciiTheme="minorHAnsi" w:eastAsia="MS PGothic" w:hAnsiTheme="minorHAnsi" w:cstheme="minorHAnsi"/>
          <w:lang w:val="en-US" w:eastAsia="ja-JP"/>
        </w:rPr>
        <w:t>At the same time, participation in God’s energies involves not merely a superficial association with God’s attributes, but an actual assimilation of God Himself (in His energies) into the human person. Thus, the person is truly “deified” and may con</w:t>
      </w:r>
      <w:r>
        <w:rPr>
          <w:rFonts w:asciiTheme="minorHAnsi" w:eastAsia="MS PGothic" w:hAnsiTheme="minorHAnsi" w:cstheme="minorHAnsi"/>
          <w:lang w:val="en-US" w:eastAsia="ja-JP"/>
        </w:rPr>
        <w:t>sider himself or herself truly g</w:t>
      </w:r>
      <w:r w:rsidRPr="002D7706">
        <w:rPr>
          <w:rFonts w:asciiTheme="minorHAnsi" w:eastAsia="MS PGothic" w:hAnsiTheme="minorHAnsi" w:cstheme="minorHAnsi"/>
          <w:lang w:val="en-US" w:eastAsia="ja-JP"/>
        </w:rPr>
        <w:t>od. Adherents of theosis claim that through union with “the energies of God, one participates in His unapproachable Deity.”</w:t>
      </w:r>
      <w:r w:rsidRPr="001C18ED">
        <w:rPr>
          <w:rStyle w:val="FootnoteReference"/>
          <w:rFonts w:asciiTheme="minorHAnsi" w:hAnsiTheme="minorHAnsi" w:cstheme="minorHAnsi"/>
          <w:lang w:bidi="he-IL"/>
        </w:rPr>
        <w:footnoteReference w:id="18"/>
      </w:r>
      <w:r w:rsidRPr="002D7706">
        <w:rPr>
          <w:rFonts w:asciiTheme="minorHAnsi" w:eastAsia="MS PGothic" w:hAnsiTheme="minorHAnsi" w:cstheme="minorHAnsi"/>
          <w:lang w:val="en-US" w:eastAsia="ja-JP"/>
        </w:rPr>
        <w:t xml:space="preserve"> </w:t>
      </w:r>
      <w:r>
        <w:rPr>
          <w:rFonts w:asciiTheme="minorHAnsi" w:eastAsia="MS PGothic" w:hAnsiTheme="minorHAnsi" w:cstheme="minorHAnsi"/>
          <w:lang w:val="en-US" w:eastAsia="ja-JP"/>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rPr>
        <w:t xml:space="preserve">Maximus the Confessor </w:t>
      </w:r>
      <w:r>
        <w:rPr>
          <w:rFonts w:asciiTheme="minorHAnsi" w:hAnsiTheme="minorHAnsi" w:cstheme="minorHAnsi"/>
          <w:lang w:val="en-US"/>
        </w:rPr>
        <w:t xml:space="preserve">explicates the logical </w:t>
      </w:r>
      <w:r w:rsidRPr="00D30F80">
        <w:rPr>
          <w:rFonts w:asciiTheme="minorHAnsi" w:hAnsiTheme="minorHAnsi" w:cstheme="minorHAnsi"/>
          <w:lang w:val="en-US"/>
        </w:rPr>
        <w:t>consequence</w:t>
      </w:r>
      <w:r>
        <w:rPr>
          <w:rFonts w:asciiTheme="minorHAnsi" w:hAnsiTheme="minorHAnsi" w:cstheme="minorHAnsi"/>
          <w:lang w:val="en-US"/>
        </w:rPr>
        <w:t xml:space="preserve"> of such a claim</w:t>
      </w:r>
      <w:r w:rsidRPr="002D7706">
        <w:rPr>
          <w:rFonts w:asciiTheme="minorHAnsi" w:hAnsiTheme="minorHAnsi" w:cstheme="minorHAnsi"/>
          <w:lang w:val="en-US"/>
        </w:rPr>
        <w:t>. He writes, “</w:t>
      </w:r>
      <w:r w:rsidRPr="002D7706">
        <w:rPr>
          <w:rFonts w:asciiTheme="minorHAnsi" w:hAnsiTheme="minorHAnsi" w:cstheme="minorHAnsi"/>
          <w:lang w:val="en-US" w:bidi="he-IL"/>
        </w:rPr>
        <w:t xml:space="preserve">All that God is, except for an identity in </w:t>
      </w:r>
      <w:r w:rsidRPr="002D7706">
        <w:rPr>
          <w:rFonts w:asciiTheme="minorHAnsi" w:hAnsiTheme="minorHAnsi" w:cstheme="minorHAnsi"/>
          <w:i/>
          <w:iCs/>
          <w:lang w:val="en-US" w:bidi="he-IL"/>
        </w:rPr>
        <w:t>ousia</w:t>
      </w:r>
      <w:r w:rsidRPr="002D7706">
        <w:rPr>
          <w:rFonts w:asciiTheme="minorHAnsi" w:hAnsiTheme="minorHAnsi" w:cstheme="minorHAnsi"/>
          <w:lang w:val="en-US" w:bidi="he-IL"/>
        </w:rPr>
        <w:t xml:space="preserve"> (i.e., “essence”), one becomes when he is deified by grace,”</w:t>
      </w:r>
      <w:r w:rsidRPr="001C18ED">
        <w:rPr>
          <w:rStyle w:val="FootnoteReference"/>
          <w:rFonts w:asciiTheme="minorHAnsi" w:hAnsiTheme="minorHAnsi" w:cstheme="minorHAnsi"/>
          <w:lang w:bidi="he-IL"/>
        </w:rPr>
        <w:footnoteReference w:id="19"/>
      </w:r>
      <w:r w:rsidRPr="002D7706">
        <w:rPr>
          <w:rFonts w:asciiTheme="minorHAnsi" w:hAnsiTheme="minorHAnsi" w:cstheme="minorHAnsi"/>
          <w:lang w:val="en-US" w:bidi="he-IL"/>
        </w:rPr>
        <w:t xml:space="preserve"> and, “Then God Himself, from His side, would give Himself to man, who in accordance with the gift, that is according to grace, would possess all that God possesses by nature.”</w:t>
      </w:r>
      <w:r w:rsidRPr="001C18ED">
        <w:rPr>
          <w:rStyle w:val="FootnoteReference"/>
          <w:rFonts w:asciiTheme="minorHAnsi" w:hAnsiTheme="minorHAnsi" w:cstheme="minorHAnsi"/>
          <w:lang w:bidi="he-IL"/>
        </w:rPr>
        <w:footnoteReference w:id="20"/>
      </w:r>
      <w:r w:rsidRPr="002D7706">
        <w:rPr>
          <w:rFonts w:asciiTheme="minorHAnsi" w:hAnsiTheme="minorHAnsi" w:cstheme="minorHAnsi"/>
          <w:lang w:val="en-US" w:bidi="he-IL"/>
        </w:rPr>
        <w:t xml:space="preserve"> Lossky likewise affirms that the deified person “possesses by grace all that the Most Holy Trinity possess by nature.”</w:t>
      </w:r>
      <w:r w:rsidRPr="001C18ED">
        <w:rPr>
          <w:rStyle w:val="FootnoteReference"/>
          <w:rFonts w:asciiTheme="minorHAnsi" w:hAnsiTheme="minorHAnsi" w:cstheme="minorHAnsi"/>
          <w:lang w:bidi="he-IL"/>
        </w:rPr>
        <w:footnoteReference w:id="21"/>
      </w:r>
    </w:p>
    <w:p w:rsidR="0027038D" w:rsidRPr="00914EA3"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Finally, theosis concerns not only the deification of persons, but of the entire created order. According to Orthodox thought, God’s eternal plan is to deify all things in and through deified humanity. Archimandrite Nikon comments, “A person, abiding in God, must elevate all creation to theosis, for which purpose the created order received its being from God.”</w:t>
      </w:r>
      <w:r w:rsidRPr="001C18ED">
        <w:rPr>
          <w:rStyle w:val="FootnoteReference"/>
          <w:rFonts w:asciiTheme="minorHAnsi" w:hAnsiTheme="minorHAnsi" w:cstheme="minorHAnsi"/>
          <w:lang w:bidi="he-IL"/>
        </w:rPr>
        <w:footnoteReference w:id="22"/>
      </w:r>
      <w:r w:rsidRPr="002D7706">
        <w:rPr>
          <w:rFonts w:asciiTheme="minorHAnsi" w:hAnsiTheme="minorHAnsi" w:cstheme="minorHAnsi"/>
          <w:lang w:val="en-US" w:bidi="he-IL"/>
        </w:rPr>
        <w:t xml:space="preserve"> Maximus the Confessor adds, “Man must unite all things in himself and through himself unite all things to God</w:t>
      </w:r>
      <w:r>
        <w:rPr>
          <w:rFonts w:asciiTheme="minorHAnsi" w:hAnsiTheme="minorHAnsi" w:cstheme="minorHAnsi"/>
          <w:lang w:val="en-US" w:bidi="he-IL"/>
        </w:rPr>
        <w:t>,</w:t>
      </w:r>
      <w:r w:rsidRPr="002D7706">
        <w:rPr>
          <w:rFonts w:asciiTheme="minorHAnsi" w:hAnsiTheme="minorHAnsi" w:cstheme="minorHAnsi"/>
          <w:lang w:val="en-US" w:bidi="he-IL"/>
        </w:rPr>
        <w:t>” “Nothing will remain outside of God</w:t>
      </w:r>
      <w:r>
        <w:rPr>
          <w:rFonts w:asciiTheme="minorHAnsi" w:hAnsiTheme="minorHAnsi" w:cstheme="minorHAnsi"/>
          <w:lang w:val="en-US" w:bidi="he-IL"/>
        </w:rPr>
        <w:t>,” and “</w:t>
      </w:r>
      <w:r w:rsidRPr="00234F79">
        <w:rPr>
          <w:rFonts w:asciiTheme="minorHAnsi" w:hAnsiTheme="minorHAnsi" w:cstheme="minorHAnsi"/>
          <w:lang w:val="en-US"/>
        </w:rPr>
        <w:t>Everything will be deified – God will be everything, and in everything</w:t>
      </w:r>
      <w:r w:rsidRPr="002D7706">
        <w:rPr>
          <w:rFonts w:asciiTheme="minorHAnsi" w:hAnsiTheme="minorHAnsi" w:cstheme="minorHAnsi"/>
          <w:lang w:val="en-US" w:bidi="he-IL"/>
        </w:rPr>
        <w:t>.”</w:t>
      </w:r>
      <w:r w:rsidRPr="006E5641">
        <w:rPr>
          <w:rStyle w:val="FootnoteReference"/>
          <w:rFonts w:asciiTheme="minorHAnsi" w:hAnsiTheme="minorHAnsi" w:cstheme="minorHAnsi"/>
          <w:lang w:bidi="he-IL"/>
        </w:rPr>
        <w:footnoteReference w:id="23"/>
      </w:r>
    </w:p>
    <w:p w:rsidR="0027038D" w:rsidRPr="002D7706" w:rsidRDefault="0027038D" w:rsidP="0027038D">
      <w:pPr>
        <w:ind w:firstLine="450"/>
        <w:rPr>
          <w:rFonts w:asciiTheme="minorHAnsi" w:hAnsiTheme="minorHAnsi" w:cstheme="minorHAnsi"/>
          <w:lang w:val="en-US"/>
        </w:rPr>
      </w:pPr>
      <w:r>
        <w:rPr>
          <w:rFonts w:asciiTheme="minorHAnsi" w:hAnsiTheme="minorHAnsi" w:cstheme="minorHAnsi"/>
          <w:lang w:val="en-US" w:bidi="he-IL"/>
        </w:rPr>
        <w:t>The conscientious E</w:t>
      </w:r>
      <w:r w:rsidRPr="002D7706">
        <w:rPr>
          <w:rFonts w:asciiTheme="minorHAnsi" w:hAnsiTheme="minorHAnsi" w:cstheme="minorHAnsi"/>
          <w:lang w:val="en-US" w:bidi="he-IL"/>
        </w:rPr>
        <w:t xml:space="preserve">vangelical will immediately object that the idea of becoming God was how Satan first tempted humans and </w:t>
      </w:r>
      <w:r>
        <w:rPr>
          <w:rFonts w:asciiTheme="minorHAnsi" w:hAnsiTheme="minorHAnsi" w:cstheme="minorHAnsi"/>
          <w:lang w:val="en-US" w:bidi="he-IL"/>
        </w:rPr>
        <w:t xml:space="preserve">was </w:t>
      </w:r>
      <w:r w:rsidRPr="002D7706">
        <w:rPr>
          <w:rFonts w:asciiTheme="minorHAnsi" w:hAnsiTheme="minorHAnsi" w:cstheme="minorHAnsi"/>
          <w:lang w:val="en-US" w:bidi="he-IL"/>
        </w:rPr>
        <w:t>the ambition that led to his own fall. Orthodoxy responds that the evil of Satan’s suggestion li</w:t>
      </w:r>
      <w:r>
        <w:rPr>
          <w:rFonts w:asciiTheme="minorHAnsi" w:hAnsiTheme="minorHAnsi" w:cstheme="minorHAnsi"/>
          <w:lang w:val="en-US" w:bidi="he-IL"/>
        </w:rPr>
        <w:t>es not in the idea of becoming g</w:t>
      </w:r>
      <w:r w:rsidRPr="002D7706">
        <w:rPr>
          <w:rFonts w:asciiTheme="minorHAnsi" w:hAnsiTheme="minorHAnsi" w:cstheme="minorHAnsi"/>
          <w:lang w:val="en-US" w:bidi="he-IL"/>
        </w:rPr>
        <w:t>od, which was God’s eternal plan for humankind in the first place, but in be</w:t>
      </w:r>
      <w:r>
        <w:rPr>
          <w:rFonts w:asciiTheme="minorHAnsi" w:hAnsiTheme="minorHAnsi" w:cstheme="minorHAnsi"/>
          <w:lang w:val="en-US" w:bidi="he-IL"/>
        </w:rPr>
        <w:t>coming g</w:t>
      </w:r>
      <w:r w:rsidRPr="002D7706">
        <w:rPr>
          <w:rFonts w:asciiTheme="minorHAnsi" w:hAnsiTheme="minorHAnsi" w:cstheme="minorHAnsi"/>
          <w:lang w:val="en-US" w:bidi="he-IL"/>
        </w:rPr>
        <w:t>od independent of Him. Ilarion writes in this regard, “Theosis is impossible without God, and the drive to become equal to God in contradiction to His plan indicates the most blatant pride.”</w:t>
      </w:r>
      <w:r w:rsidRPr="001C18ED">
        <w:rPr>
          <w:rStyle w:val="FootnoteReference"/>
          <w:rFonts w:asciiTheme="minorHAnsi" w:hAnsiTheme="minorHAnsi" w:cstheme="minorHAnsi"/>
        </w:rPr>
        <w:footnoteReference w:id="24"/>
      </w:r>
      <w:r w:rsidRPr="002D7706">
        <w:rPr>
          <w:rFonts w:asciiTheme="minorHAnsi" w:hAnsiTheme="minorHAnsi" w:cstheme="minorHAnsi"/>
          <w:lang w:val="en-US" w:bidi="he-IL"/>
        </w:rPr>
        <w:t xml:space="preserve"> </w:t>
      </w:r>
    </w:p>
    <w:p w:rsidR="0027038D" w:rsidRPr="002D7706" w:rsidRDefault="0027038D" w:rsidP="0027038D">
      <w:pPr>
        <w:rPr>
          <w:rFonts w:asciiTheme="minorHAnsi" w:hAnsiTheme="minorHAnsi" w:cstheme="minorHAnsi"/>
          <w:b/>
          <w:bCs/>
          <w:lang w:val="en-US"/>
        </w:rPr>
      </w:pPr>
    </w:p>
    <w:p w:rsidR="0027038D" w:rsidRPr="002D7706" w:rsidRDefault="0027038D" w:rsidP="0027038D">
      <w:pPr>
        <w:pStyle w:val="Heading3"/>
        <w:rPr>
          <w:rFonts w:cstheme="minorHAnsi"/>
          <w:lang w:val="en-US"/>
        </w:rPr>
      </w:pPr>
      <w:r w:rsidRPr="002D7706">
        <w:rPr>
          <w:rFonts w:cstheme="minorHAnsi"/>
          <w:lang w:val="en-US"/>
        </w:rPr>
        <w:t>B. Mechanism of Theosis</w:t>
      </w:r>
    </w:p>
    <w:p w:rsidR="0027038D" w:rsidRPr="002D7706" w:rsidRDefault="0027038D" w:rsidP="0027038D">
      <w:pPr>
        <w:rPr>
          <w:rFonts w:asciiTheme="minorHAnsi" w:hAnsiTheme="minorHAnsi" w:cstheme="minorHAnsi"/>
          <w:b/>
          <w:bCs/>
          <w:lang w:val="en-US"/>
        </w:rPr>
      </w:pPr>
    </w:p>
    <w:p w:rsidR="0027038D" w:rsidRPr="002D7706" w:rsidRDefault="0027038D" w:rsidP="0027038D">
      <w:pPr>
        <w:ind w:firstLine="450"/>
        <w:rPr>
          <w:rFonts w:asciiTheme="minorHAnsi" w:eastAsia="MS Mincho" w:hAnsiTheme="minorHAnsi" w:cstheme="minorHAnsi"/>
          <w:lang w:val="en-US" w:eastAsia="ja-JP"/>
        </w:rPr>
      </w:pPr>
      <w:r w:rsidRPr="002D7706">
        <w:rPr>
          <w:rFonts w:asciiTheme="minorHAnsi" w:hAnsiTheme="minorHAnsi" w:cstheme="minorHAnsi"/>
          <w:lang w:val="en-US"/>
        </w:rPr>
        <w:t>According to Orthodox thought, the deification of humans is made possible by the incarnation of Christ. Here we recall the maxim of Athanasius, “</w:t>
      </w:r>
      <w:r w:rsidRPr="002D7706">
        <w:rPr>
          <w:rFonts w:asciiTheme="minorHAnsi" w:eastAsia="MS Mincho" w:hAnsiTheme="minorHAnsi" w:cstheme="minorHAnsi"/>
          <w:lang w:val="en-US" w:eastAsia="ja-JP"/>
        </w:rPr>
        <w:t>He was made man that we might be made God.”</w:t>
      </w:r>
      <w:r w:rsidRPr="001C18ED">
        <w:rPr>
          <w:rStyle w:val="FootnoteReference"/>
          <w:rFonts w:asciiTheme="minorHAnsi" w:hAnsiTheme="minorHAnsi" w:cstheme="minorHAnsi"/>
        </w:rPr>
        <w:footnoteReference w:id="25"/>
      </w:r>
      <w:r w:rsidRPr="002D7706">
        <w:rPr>
          <w:rFonts w:asciiTheme="minorHAnsi" w:eastAsia="MS Mincho" w:hAnsiTheme="minorHAnsi" w:cstheme="minorHAnsi"/>
          <w:lang w:val="en-US" w:eastAsia="ja-JP"/>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When the Eternal Logos took upon Himself huma</w:t>
      </w:r>
      <w:r>
        <w:rPr>
          <w:rFonts w:asciiTheme="minorHAnsi" w:hAnsiTheme="minorHAnsi" w:cstheme="minorHAnsi"/>
          <w:lang w:val="en-US"/>
        </w:rPr>
        <w:t>n nature, Orthodoxy presupposes that</w:t>
      </w:r>
      <w:r w:rsidRPr="002D7706">
        <w:rPr>
          <w:rFonts w:asciiTheme="minorHAnsi" w:hAnsiTheme="minorHAnsi" w:cstheme="minorHAnsi"/>
          <w:lang w:val="en-US"/>
        </w:rPr>
        <w:t xml:space="preserve"> He took upon Himself not his own personal human nature, but humanity in its entirety. Here the Greek Fathers likely borrowed the Platonic concept of “universals” and “particulars.” The humanity that the Son received is comparable to a “universal,” to which all the “particulars” of individual human natures are organically connected. Without this understanding of a “generic”</w:t>
      </w:r>
      <w:r>
        <w:rPr>
          <w:rFonts w:asciiTheme="minorHAnsi" w:hAnsiTheme="minorHAnsi" w:cstheme="minorHAnsi"/>
          <w:lang w:val="en-US"/>
        </w:rPr>
        <w:t xml:space="preserve"> or “universal”</w:t>
      </w:r>
      <w:r w:rsidRPr="002D7706">
        <w:rPr>
          <w:rFonts w:asciiTheme="minorHAnsi" w:hAnsiTheme="minorHAnsi" w:cstheme="minorHAnsi"/>
          <w:lang w:val="en-US"/>
        </w:rPr>
        <w:t xml:space="preserve"> human nature in Christ, the process of theosis, as we shall see, is not possible.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Gregory Palamas taught, “In the person of Christ existed, in its entirety, human nature individually particularized, which, being hypostatically unified with the Logos of God, was deified and received the fullness of the divine energy”.</w:t>
      </w:r>
      <w:r w:rsidRPr="006130AA">
        <w:rPr>
          <w:rStyle w:val="FootnoteReference"/>
          <w:rFonts w:asciiTheme="minorHAnsi" w:eastAsia="MS Mincho" w:hAnsiTheme="minorHAnsi" w:cstheme="minorHAnsi"/>
          <w:lang w:eastAsia="ja-JP"/>
        </w:rPr>
        <w:footnoteReference w:id="26"/>
      </w:r>
      <w:r w:rsidRPr="002D7706">
        <w:rPr>
          <w:rFonts w:asciiTheme="minorHAnsi" w:hAnsiTheme="minorHAnsi" w:cstheme="minorHAnsi"/>
          <w:lang w:val="en-US"/>
        </w:rPr>
        <w:t xml:space="preserve">  Allister McGrath relates th</w:t>
      </w:r>
      <w:r>
        <w:rPr>
          <w:rFonts w:asciiTheme="minorHAnsi" w:hAnsiTheme="minorHAnsi" w:cstheme="minorHAnsi"/>
          <w:lang w:val="en-US"/>
        </w:rPr>
        <w:t xml:space="preserve">at Athanasius likewise affirmed, </w:t>
      </w:r>
      <w:r w:rsidRPr="002D7706">
        <w:rPr>
          <w:rFonts w:asciiTheme="minorHAnsi" w:hAnsiTheme="minorHAnsi" w:cstheme="minorHAnsi"/>
          <w:lang w:val="en-US"/>
        </w:rPr>
        <w:t xml:space="preserve">“The Logos </w:t>
      </w:r>
      <w:r>
        <w:rPr>
          <w:rFonts w:asciiTheme="minorHAnsi" w:hAnsiTheme="minorHAnsi" w:cstheme="minorHAnsi"/>
          <w:lang w:val="en-US"/>
        </w:rPr>
        <w:t xml:space="preserve">did not merely assume the specific human existence of Jesus Christ, but that of </w:t>
      </w:r>
      <w:r w:rsidRPr="002D7706">
        <w:rPr>
          <w:rFonts w:asciiTheme="minorHAnsi" w:hAnsiTheme="minorHAnsi" w:cstheme="minorHAnsi"/>
          <w:lang w:val="en-US"/>
        </w:rPr>
        <w:t xml:space="preserve">human nature in </w:t>
      </w:r>
      <w:r>
        <w:rPr>
          <w:rFonts w:asciiTheme="minorHAnsi" w:hAnsiTheme="minorHAnsi" w:cstheme="minorHAnsi"/>
          <w:lang w:val="en-US"/>
        </w:rPr>
        <w:t>general</w:t>
      </w:r>
      <w:r w:rsidRPr="002D7706">
        <w:rPr>
          <w:rFonts w:asciiTheme="minorHAnsi" w:hAnsiTheme="minorHAnsi" w:cstheme="minorHAnsi"/>
          <w:lang w:val="en-US"/>
        </w:rPr>
        <w:t>.”</w:t>
      </w:r>
      <w:r w:rsidRPr="006130AA">
        <w:rPr>
          <w:rStyle w:val="FootnoteReference"/>
          <w:rFonts w:asciiTheme="minorHAnsi" w:hAnsiTheme="minorHAnsi" w:cstheme="minorHAnsi"/>
        </w:rPr>
        <w:footnoteReference w:id="27"/>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Having received a “representative humanity</w:t>
      </w:r>
      <w:r>
        <w:rPr>
          <w:rFonts w:asciiTheme="minorHAnsi" w:hAnsiTheme="minorHAnsi" w:cstheme="minorHAnsi"/>
          <w:lang w:val="en-US"/>
        </w:rPr>
        <w:t>,”</w:t>
      </w:r>
      <w:r w:rsidRPr="002D7706">
        <w:rPr>
          <w:rFonts w:asciiTheme="minorHAnsi" w:hAnsiTheme="minorHAnsi" w:cstheme="minorHAnsi"/>
          <w:lang w:val="en-US"/>
        </w:rPr>
        <w:t xml:space="preserve"> the incarnate Son experienced a transformation of His human nature. According to the concept of </w:t>
      </w:r>
      <w:r w:rsidRPr="002D7706">
        <w:rPr>
          <w:rFonts w:asciiTheme="minorHAnsi" w:hAnsiTheme="minorHAnsi" w:cstheme="minorHAnsi"/>
          <w:i/>
          <w:iCs/>
          <w:lang w:val="en-US"/>
        </w:rPr>
        <w:t>perichoresis</w:t>
      </w:r>
      <w:r w:rsidRPr="002D7706">
        <w:rPr>
          <w:rFonts w:asciiTheme="minorHAnsi" w:hAnsiTheme="minorHAnsi" w:cstheme="minorHAnsi"/>
          <w:lang w:val="en-US"/>
        </w:rPr>
        <w:t>, divine attributes, or more precisely the “divine energies” that were resident in Christ’s divine nature, permeated His humanity and “deified” it. Consequently, the two natures of Christ consist in His eternal divine nature and His “deified” humanity. Since Christ possess a “representative humanity,” the deification of His human nature makes possibly the deification of all humans. Thus, “</w:t>
      </w:r>
      <w:r w:rsidRPr="002D7706">
        <w:rPr>
          <w:rFonts w:asciiTheme="minorHAnsi" w:eastAsia="MS Mincho" w:hAnsiTheme="minorHAnsi" w:cstheme="minorHAnsi"/>
          <w:lang w:val="en-US" w:eastAsia="ja-JP"/>
        </w:rPr>
        <w:t>He was made man that we might be made God.”</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Orthodox thinkers describe theosis in terms of a “descent” of God to humans and a consequent “ascent” of humans to God. In the words of Lossky, “The descent (</w:t>
      </w:r>
      <w:r w:rsidRPr="002D7706">
        <w:rPr>
          <w:rFonts w:asciiTheme="minorHAnsi" w:hAnsiTheme="minorHAnsi" w:cstheme="minorHAnsi"/>
          <w:i/>
          <w:iCs/>
          <w:lang w:val="en-US"/>
        </w:rPr>
        <w:t>katabasis</w:t>
      </w:r>
      <w:r w:rsidRPr="002D7706">
        <w:rPr>
          <w:rFonts w:asciiTheme="minorHAnsi" w:hAnsiTheme="minorHAnsi" w:cstheme="minorHAnsi"/>
          <w:lang w:val="en-US"/>
        </w:rPr>
        <w:t xml:space="preserve">) of the Divine Person of Christ makes possible for all human persons an ascent, our </w:t>
      </w:r>
      <w:r w:rsidRPr="002D7706">
        <w:rPr>
          <w:rFonts w:asciiTheme="minorHAnsi" w:hAnsiTheme="minorHAnsi" w:cstheme="minorHAnsi"/>
          <w:i/>
          <w:iCs/>
          <w:lang w:val="en-US"/>
        </w:rPr>
        <w:t>anabasis</w:t>
      </w:r>
      <w:r w:rsidRPr="002D7706">
        <w:rPr>
          <w:rFonts w:asciiTheme="minorHAnsi" w:hAnsiTheme="minorHAnsi" w:cstheme="minorHAnsi"/>
          <w:lang w:val="en-US"/>
        </w:rPr>
        <w:t xml:space="preserve"> in the Holy Spirit.”</w:t>
      </w:r>
      <w:r w:rsidRPr="006130AA">
        <w:rPr>
          <w:rStyle w:val="FootnoteReference"/>
          <w:rFonts w:asciiTheme="minorHAnsi" w:hAnsiTheme="minorHAnsi" w:cstheme="minorHAnsi"/>
        </w:rPr>
        <w:footnoteReference w:id="28"/>
      </w:r>
      <w:r w:rsidRPr="002D7706">
        <w:rPr>
          <w:rFonts w:asciiTheme="minorHAnsi" w:hAnsiTheme="minorHAnsi" w:cstheme="minorHAnsi"/>
          <w:lang w:val="en-US"/>
        </w:rPr>
        <w:t xml:space="preserve"> Christ thus forms an “ontological bridge” between God and humans.</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The doctrine of theosis, consequently, holds major implications for soteriology. Now</w:t>
      </w:r>
      <w:r>
        <w:rPr>
          <w:rFonts w:asciiTheme="minorHAnsi" w:hAnsiTheme="minorHAnsi" w:cstheme="minorHAnsi"/>
          <w:lang w:val="en-US"/>
        </w:rPr>
        <w:t>,</w:t>
      </w:r>
      <w:r w:rsidRPr="002D7706">
        <w:rPr>
          <w:rFonts w:asciiTheme="minorHAnsi" w:hAnsiTheme="minorHAnsi" w:cstheme="minorHAnsi"/>
          <w:lang w:val="en-US"/>
        </w:rPr>
        <w:t xml:space="preserve"> the focal point of salvation shifts from the sacrificial death of Christ to His incarnation as the nexus of His saving work. Russian Orthodox theologian Georges Florovsky comments, “The entire history of Christological logic is defined by the basic idea: the Incarnation of the Word as Salvation.”</w:t>
      </w:r>
      <w:r w:rsidRPr="006130AA">
        <w:rPr>
          <w:rStyle w:val="FootnoteReference"/>
          <w:rFonts w:asciiTheme="minorHAnsi" w:hAnsiTheme="minorHAnsi" w:cstheme="minorHAnsi"/>
        </w:rPr>
        <w:footnoteReference w:id="29"/>
      </w:r>
      <w:r w:rsidRPr="002D7706">
        <w:rPr>
          <w:rFonts w:asciiTheme="minorHAnsi" w:hAnsiTheme="minorHAnsi" w:cstheme="minorHAnsi"/>
          <w:lang w:val="en-US"/>
        </w:rPr>
        <w:t xml:space="preserve"> Archdeacon Andrey Kuraev adds, “The way to healing lies in this, that Christ, receiving into His Deity our human nature, did not permit it to sin, and thus healed it in Himself.”</w:t>
      </w:r>
      <w:r w:rsidRPr="006130AA">
        <w:rPr>
          <w:rStyle w:val="FootnoteReference"/>
          <w:rFonts w:asciiTheme="minorHAnsi" w:hAnsiTheme="minorHAnsi" w:cstheme="minorHAnsi"/>
        </w:rPr>
        <w:footnoteReference w:id="30"/>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 xml:space="preserve">Here we can make an interesting observation. Every student of church history is well versed in the Christological debates of the fourth and fifth centuries that resulted in the Chalcedonian definition of Christ as one Divine Person in two natures. What is less well known is that while defending orthodox Christology, the Eastern Fathers were also defending the doctrine of theosis.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 xml:space="preserve">According to the doctrine of theosis, the Incarnate Logos is an “ontological bridge” allowing the ascent of persons to God. Yet this mediation is possible only if Christ is fully divine and fully human in one Person. If He lacks either full divinity or full humanity, the “connection” between humanity and divinity is ruptured and theosis is impossible. If He exists not in one Person, but two, the connection between God and humans again breaks down. Therefore, by defending orthodox Christology, the Eastern Fathers were securing the human’s ascent to Deity, that is, theosis. </w:t>
      </w:r>
    </w:p>
    <w:p w:rsidR="0027038D" w:rsidRPr="002D7706" w:rsidRDefault="0027038D" w:rsidP="0027038D">
      <w:pPr>
        <w:ind w:firstLine="450"/>
        <w:rPr>
          <w:rFonts w:asciiTheme="minorHAnsi" w:hAnsiTheme="minorHAnsi" w:cstheme="minorHAnsi"/>
          <w:lang w:val="en-US" w:bidi="he-IL"/>
        </w:rPr>
      </w:pPr>
      <w:r>
        <w:rPr>
          <w:rFonts w:asciiTheme="minorHAnsi" w:hAnsiTheme="minorHAnsi" w:cstheme="minorHAnsi"/>
          <w:lang w:val="en-US" w:bidi="he-IL"/>
        </w:rPr>
        <w:t>Russian E</w:t>
      </w:r>
      <w:r w:rsidRPr="002D7706">
        <w:rPr>
          <w:rFonts w:asciiTheme="minorHAnsi" w:hAnsiTheme="minorHAnsi" w:cstheme="minorHAnsi"/>
          <w:lang w:val="en-US" w:bidi="he-IL"/>
        </w:rPr>
        <w:t>vangelical scholar Zaitsev shares this observation: “From this it become clear why the Orthodox Church has considered any divergence from hea</w:t>
      </w:r>
      <w:r>
        <w:rPr>
          <w:rFonts w:asciiTheme="minorHAnsi" w:hAnsiTheme="minorHAnsi" w:cstheme="minorHAnsi"/>
          <w:lang w:val="en-US" w:bidi="he-IL"/>
        </w:rPr>
        <w:t>l</w:t>
      </w:r>
      <w:r w:rsidRPr="002D7706">
        <w:rPr>
          <w:rFonts w:asciiTheme="minorHAnsi" w:hAnsiTheme="minorHAnsi" w:cstheme="minorHAnsi"/>
          <w:lang w:val="en-US" w:bidi="he-IL"/>
        </w:rPr>
        <w:t>thy, orthodox, Christological teaching as having serious soteriological and spiritual consequences, especially for the teaching of theosis.”</w:t>
      </w:r>
      <w:r w:rsidRPr="006130AA">
        <w:rPr>
          <w:rStyle w:val="FootnoteReference"/>
          <w:rFonts w:asciiTheme="minorHAnsi" w:hAnsiTheme="minorHAnsi" w:cstheme="minorHAnsi"/>
          <w:lang w:bidi="he-IL"/>
        </w:rPr>
        <w:footnoteReference w:id="31"/>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Vladimir Lossky confirms,</w:t>
      </w:r>
    </w:p>
    <w:p w:rsidR="0027038D" w:rsidRPr="002D7706" w:rsidRDefault="0027038D" w:rsidP="0027038D">
      <w:pPr>
        <w:ind w:firstLine="426"/>
        <w:rPr>
          <w:rFonts w:asciiTheme="minorHAnsi" w:hAnsiTheme="minorHAnsi" w:cstheme="minorHAnsi"/>
          <w:lang w:val="en-US" w:bidi="he-IL"/>
        </w:rPr>
      </w:pPr>
    </w:p>
    <w:p w:rsidR="0027038D" w:rsidRPr="002D7706" w:rsidRDefault="0027038D" w:rsidP="0027038D">
      <w:pPr>
        <w:ind w:left="709"/>
        <w:rPr>
          <w:rFonts w:asciiTheme="minorHAnsi" w:hAnsiTheme="minorHAnsi" w:cstheme="minorHAnsi"/>
          <w:lang w:val="en-US" w:bidi="he-IL"/>
        </w:rPr>
      </w:pPr>
      <w:r w:rsidRPr="002D7706">
        <w:rPr>
          <w:rFonts w:asciiTheme="minorHAnsi" w:hAnsiTheme="minorHAnsi" w:cstheme="minorHAnsi"/>
          <w:lang w:val="en-US" w:bidi="he-IL"/>
        </w:rPr>
        <w:t>The complicated struggle for dogma, which the Church waged for centuries, appears to us first, if we look at it from purely a spiritual point of view, to be the untiring concern of the Church in every historical epoch to provide Christians with the possibility to attain the fullness of mystical union with God… The Church affirms against Arianism the dogma that the Trinity is of one essence, precisely because the Word-Logos opens to us the way to union with Deity. If the incarnate Word is not of the same essence as the Father and if He is not truly God, then our deification is not possible. The Church condemns the teaching of the Nestorians in order to destroy the dividing wall, which in Christ Himself they wished to separate humanity from God.</w:t>
      </w:r>
      <w:r w:rsidRPr="006130AA">
        <w:rPr>
          <w:rStyle w:val="FootnoteReference"/>
          <w:rFonts w:asciiTheme="minorHAnsi" w:hAnsiTheme="minorHAnsi" w:cstheme="minorHAnsi"/>
          <w:lang w:bidi="he-IL"/>
        </w:rPr>
        <w:footnoteReference w:id="32"/>
      </w:r>
    </w:p>
    <w:p w:rsidR="0027038D" w:rsidRPr="002D7706" w:rsidRDefault="0027038D" w:rsidP="0027038D">
      <w:pPr>
        <w:ind w:firstLine="426"/>
        <w:rPr>
          <w:rFonts w:asciiTheme="minorHAnsi" w:hAnsiTheme="minorHAnsi" w:cstheme="minorHAnsi"/>
          <w:lang w:val="en-US" w:bidi="he-IL"/>
        </w:rPr>
      </w:pPr>
    </w:p>
    <w:p w:rsidR="0027038D" w:rsidRPr="002D7706" w:rsidRDefault="0027038D" w:rsidP="0027038D">
      <w:pPr>
        <w:ind w:firstLine="450"/>
        <w:rPr>
          <w:rFonts w:asciiTheme="minorHAnsi" w:hAnsiTheme="minorHAnsi" w:cstheme="minorHAnsi"/>
          <w:lang w:val="en-US" w:bidi="he-IL"/>
        </w:rPr>
      </w:pPr>
      <w:r>
        <w:rPr>
          <w:rFonts w:asciiTheme="minorHAnsi" w:hAnsiTheme="minorHAnsi" w:cstheme="minorHAnsi"/>
          <w:lang w:val="en-US" w:bidi="he-IL"/>
        </w:rPr>
        <w:t>T</w:t>
      </w:r>
      <w:r w:rsidRPr="002D7706">
        <w:rPr>
          <w:rFonts w:asciiTheme="minorHAnsi" w:hAnsiTheme="minorHAnsi" w:cstheme="minorHAnsi"/>
          <w:lang w:val="en-US" w:bidi="he-IL"/>
        </w:rPr>
        <w:t xml:space="preserve">he Russian Orthodox publication </w:t>
      </w:r>
      <w:r w:rsidRPr="002D7706">
        <w:rPr>
          <w:rFonts w:asciiTheme="minorHAnsi" w:hAnsiTheme="minorHAnsi" w:cstheme="minorHAnsi"/>
          <w:i/>
          <w:iCs/>
          <w:lang w:val="en-US" w:bidi="he-IL"/>
        </w:rPr>
        <w:t>A Word about Theosis</w:t>
      </w:r>
      <w:r w:rsidRPr="002D7706">
        <w:rPr>
          <w:rFonts w:asciiTheme="minorHAnsi" w:hAnsiTheme="minorHAnsi" w:cstheme="minorHAnsi"/>
          <w:lang w:val="en-US" w:bidi="he-IL"/>
        </w:rPr>
        <w:t xml:space="preserve"> </w:t>
      </w:r>
      <w:r>
        <w:rPr>
          <w:rFonts w:asciiTheme="minorHAnsi" w:hAnsiTheme="minorHAnsi" w:cstheme="minorHAnsi"/>
          <w:lang w:val="en-US" w:bidi="he-IL"/>
        </w:rPr>
        <w:t>cites Athanasius in this regard</w:t>
      </w:r>
      <w:r w:rsidRPr="002D7706">
        <w:rPr>
          <w:rFonts w:asciiTheme="minorHAnsi" w:hAnsiTheme="minorHAnsi" w:cstheme="minorHAnsi"/>
          <w:lang w:val="en-US" w:bidi="he-IL"/>
        </w:rPr>
        <w:t xml:space="preserve">: </w:t>
      </w:r>
    </w:p>
    <w:p w:rsidR="0027038D" w:rsidRPr="002D7706" w:rsidRDefault="0027038D" w:rsidP="0027038D">
      <w:pPr>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b/>
          <w:bCs/>
          <w:i/>
          <w:iCs/>
          <w:lang w:val="en-US"/>
        </w:rPr>
      </w:pPr>
      <w:r w:rsidRPr="002D7706">
        <w:rPr>
          <w:rFonts w:asciiTheme="minorHAnsi" w:hAnsiTheme="minorHAnsi" w:cstheme="minorHAnsi"/>
          <w:lang w:val="en-US" w:bidi="he-IL"/>
        </w:rPr>
        <w:t>A person could not be deified if the One made flesh was not by nature the Essence of the Father, the true and personal Word of the Father. For this purpose</w:t>
      </w:r>
      <w:r>
        <w:rPr>
          <w:rFonts w:asciiTheme="minorHAnsi" w:hAnsiTheme="minorHAnsi" w:cstheme="minorHAnsi"/>
          <w:lang w:val="en-US" w:bidi="he-IL"/>
        </w:rPr>
        <w:t>,</w:t>
      </w:r>
      <w:r w:rsidRPr="002D7706">
        <w:rPr>
          <w:rFonts w:asciiTheme="minorHAnsi" w:hAnsiTheme="minorHAnsi" w:cstheme="minorHAnsi"/>
          <w:lang w:val="en-US" w:bidi="he-IL"/>
        </w:rPr>
        <w:t xml:space="preserve"> this union was accomplished, so that the Essence of the Godhead might combine with Himself the essence of humanity and in this way</w:t>
      </w:r>
      <w:r>
        <w:rPr>
          <w:rFonts w:asciiTheme="minorHAnsi" w:hAnsiTheme="minorHAnsi" w:cstheme="minorHAnsi"/>
          <w:lang w:val="en-US" w:bidi="he-IL"/>
        </w:rPr>
        <w:t>,</w:t>
      </w:r>
      <w:r w:rsidRPr="002D7706">
        <w:rPr>
          <w:rFonts w:asciiTheme="minorHAnsi" w:hAnsiTheme="minorHAnsi" w:cstheme="minorHAnsi"/>
          <w:lang w:val="en-US" w:bidi="he-IL"/>
        </w:rPr>
        <w:t xml:space="preserve"> the salvation and deification of persons might be firmly established.</w:t>
      </w:r>
      <w:r w:rsidRPr="006130AA">
        <w:rPr>
          <w:rStyle w:val="FootnoteReference"/>
          <w:rFonts w:asciiTheme="minorHAnsi" w:hAnsiTheme="minorHAnsi" w:cstheme="minorHAnsi"/>
          <w:lang w:bidi="he-IL"/>
        </w:rPr>
        <w:footnoteReference w:id="33"/>
      </w:r>
    </w:p>
    <w:p w:rsidR="0027038D" w:rsidRPr="002D7706" w:rsidRDefault="0027038D" w:rsidP="0027038D">
      <w:pPr>
        <w:rPr>
          <w:rFonts w:asciiTheme="minorHAnsi" w:hAnsiTheme="minorHAnsi" w:cstheme="minorHAnsi"/>
          <w:lang w:val="en-US" w:bidi="he-IL"/>
        </w:rPr>
      </w:pP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bidi="he-IL"/>
        </w:rPr>
        <w:t xml:space="preserve">We will </w:t>
      </w:r>
      <w:r>
        <w:rPr>
          <w:rFonts w:asciiTheme="minorHAnsi" w:hAnsiTheme="minorHAnsi" w:cstheme="minorHAnsi"/>
          <w:lang w:val="en-US" w:bidi="he-IL"/>
        </w:rPr>
        <w:t>con</w:t>
      </w:r>
      <w:r w:rsidRPr="002D7706">
        <w:rPr>
          <w:rFonts w:asciiTheme="minorHAnsi" w:hAnsiTheme="minorHAnsi" w:cstheme="minorHAnsi"/>
          <w:lang w:val="en-US" w:bidi="he-IL"/>
        </w:rPr>
        <w:t xml:space="preserve">clude </w:t>
      </w:r>
      <w:r>
        <w:rPr>
          <w:rFonts w:asciiTheme="minorHAnsi" w:hAnsiTheme="minorHAnsi" w:cstheme="minorHAnsi"/>
          <w:lang w:val="en-US" w:bidi="he-IL"/>
        </w:rPr>
        <w:t xml:space="preserve">with </w:t>
      </w:r>
      <w:r w:rsidRPr="002D7706">
        <w:rPr>
          <w:rFonts w:asciiTheme="minorHAnsi" w:hAnsiTheme="minorHAnsi" w:cstheme="minorHAnsi"/>
          <w:lang w:val="en-US" w:bidi="he-IL"/>
        </w:rPr>
        <w:t xml:space="preserve">the testimony of </w:t>
      </w:r>
      <w:r w:rsidRPr="002D7706">
        <w:rPr>
          <w:rFonts w:asciiTheme="minorHAnsi" w:hAnsiTheme="minorHAnsi" w:cstheme="minorHAnsi"/>
          <w:lang w:val="en-US"/>
        </w:rPr>
        <w:t xml:space="preserve">Georgios Mantzaridis: </w:t>
      </w:r>
    </w:p>
    <w:p w:rsidR="0027038D" w:rsidRPr="002D7706" w:rsidRDefault="0027038D" w:rsidP="0027038D">
      <w:pPr>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lang w:val="en-US" w:bidi="he-IL"/>
        </w:rPr>
      </w:pPr>
      <w:r w:rsidRPr="002D7706">
        <w:rPr>
          <w:rFonts w:asciiTheme="minorHAnsi" w:hAnsiTheme="minorHAnsi" w:cstheme="minorHAnsi"/>
          <w:lang w:val="en-US" w:bidi="he-IL"/>
        </w:rPr>
        <w:t>At the time of the great Fathers, the fact of man’s deification was fully lived by the Church and, on the basis of this living experience, the Church formulated Orthodox Christology and fought the great heresies.</w:t>
      </w:r>
      <w:r w:rsidRPr="006130AA">
        <w:rPr>
          <w:rStyle w:val="FootnoteReference"/>
          <w:rFonts w:asciiTheme="minorHAnsi" w:eastAsia="MS Mincho" w:hAnsiTheme="minorHAnsi" w:cstheme="minorHAnsi"/>
          <w:lang w:eastAsia="ja-JP"/>
        </w:rPr>
        <w:footnoteReference w:id="34"/>
      </w:r>
    </w:p>
    <w:p w:rsidR="0027038D" w:rsidRPr="002D7706" w:rsidRDefault="0027038D" w:rsidP="0027038D">
      <w:pPr>
        <w:ind w:firstLine="426"/>
        <w:rPr>
          <w:rFonts w:asciiTheme="minorHAnsi" w:hAnsiTheme="minorHAnsi" w:cstheme="minorHAnsi"/>
          <w:lang w:val="en-US" w:bidi="he-IL"/>
        </w:rPr>
      </w:pPr>
    </w:p>
    <w:p w:rsidR="0027038D" w:rsidRPr="002D7706" w:rsidRDefault="0027038D" w:rsidP="0027038D">
      <w:pPr>
        <w:pStyle w:val="Heading3"/>
        <w:rPr>
          <w:rFonts w:cstheme="minorHAnsi"/>
          <w:lang w:val="en-US"/>
        </w:rPr>
      </w:pPr>
      <w:r w:rsidRPr="002D7706">
        <w:rPr>
          <w:rFonts w:cstheme="minorHAnsi"/>
          <w:lang w:val="en-US"/>
        </w:rPr>
        <w:t>C. Attainment of Theosis</w:t>
      </w:r>
    </w:p>
    <w:p w:rsidR="0027038D" w:rsidRPr="002D7706" w:rsidRDefault="0027038D" w:rsidP="0027038D">
      <w:pPr>
        <w:rPr>
          <w:rFonts w:asciiTheme="minorHAnsi" w:hAnsiTheme="minorHAnsi" w:cstheme="minorHAnsi"/>
          <w:u w:val="single"/>
          <w:lang w:val="en-US" w:bidi="he-IL"/>
        </w:rPr>
      </w:pP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Having established the doctrine of theosis, the next step for the Orthodox believer is to discover how to attain it. The first item to note is that in Orthodox teaching</w:t>
      </w:r>
      <w:r>
        <w:rPr>
          <w:rFonts w:asciiTheme="minorHAnsi" w:hAnsiTheme="minorHAnsi" w:cstheme="minorHAnsi"/>
          <w:lang w:val="en-US" w:bidi="he-IL"/>
        </w:rPr>
        <w:t>,</w:t>
      </w:r>
      <w:r w:rsidRPr="002D7706">
        <w:rPr>
          <w:rFonts w:asciiTheme="minorHAnsi" w:hAnsiTheme="minorHAnsi" w:cstheme="minorHAnsi"/>
          <w:lang w:val="en-US" w:bidi="he-IL"/>
        </w:rPr>
        <w:t xml:space="preserve"> theosis is achieved synergistically, that is, by means of cooperation between God and persons. Maximus the Confessor emphasizes God’s contribution to the process: “No creature is capable of deification by its own nature, since it is not capable of grasping God. This can happen only by the grace of God.”</w:t>
      </w:r>
      <w:r w:rsidRPr="006130AA">
        <w:rPr>
          <w:rStyle w:val="FootnoteReference"/>
          <w:rFonts w:asciiTheme="minorHAnsi" w:hAnsiTheme="minorHAnsi" w:cstheme="minorHAnsi"/>
        </w:rPr>
        <w:footnoteReference w:id="35"/>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On the other hand, people are required to exert maximal effort to attain it. The primary ingredient is faith, but Lossky adds that faith must be accompanied by “fasting, watchfulness, prayer, alms and every good work done for Christ’s sake.”</w:t>
      </w:r>
      <w:r w:rsidRPr="006130AA">
        <w:rPr>
          <w:rStyle w:val="FootnoteReference"/>
          <w:rFonts w:asciiTheme="minorHAnsi" w:hAnsiTheme="minorHAnsi" w:cstheme="minorHAnsi"/>
          <w:lang w:bidi="he-IL"/>
        </w:rPr>
        <w:footnoteReference w:id="36"/>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u w:val="single"/>
          <w:lang w:val="en-US" w:bidi="he-IL"/>
        </w:rPr>
      </w:pPr>
    </w:p>
    <w:p w:rsidR="0027038D" w:rsidRPr="001B3E81" w:rsidRDefault="0027038D" w:rsidP="0027038D">
      <w:pPr>
        <w:ind w:firstLine="450"/>
        <w:rPr>
          <w:rFonts w:asciiTheme="minorHAnsi" w:hAnsiTheme="minorHAnsi" w:cstheme="minorHAnsi"/>
          <w:b/>
          <w:bCs/>
          <w:lang w:val="en-US"/>
        </w:rPr>
      </w:pPr>
      <w:r w:rsidRPr="001B3E81">
        <w:rPr>
          <w:rFonts w:asciiTheme="minorHAnsi" w:hAnsiTheme="minorHAnsi" w:cstheme="minorHAnsi"/>
          <w:b/>
          <w:bCs/>
          <w:lang w:val="en-US"/>
        </w:rPr>
        <w:t>1.  Sacraments and Relics</w:t>
      </w:r>
    </w:p>
    <w:p w:rsidR="0027038D" w:rsidRPr="002D7706" w:rsidRDefault="0027038D" w:rsidP="0027038D">
      <w:pPr>
        <w:ind w:firstLine="450"/>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Orthodoxy, embracing sacramental theology, holds that physical contact with the sacramental element directly communicates God’s grace to the recipient. Therefore, we are not surprised to discover that the sacraments of Baptism and the Eucharist communicate grace for deification. Ilarion writes, «In the sacraments</w:t>
      </w:r>
      <w:r>
        <w:rPr>
          <w:rFonts w:asciiTheme="minorHAnsi" w:hAnsiTheme="minorHAnsi" w:cstheme="minorHAnsi"/>
          <w:lang w:val="en-US"/>
        </w:rPr>
        <w:t>,</w:t>
      </w:r>
      <w:r w:rsidRPr="002D7706">
        <w:rPr>
          <w:rFonts w:asciiTheme="minorHAnsi" w:hAnsiTheme="minorHAnsi" w:cstheme="minorHAnsi"/>
          <w:lang w:val="en-US"/>
        </w:rPr>
        <w:t xml:space="preserve"> the grace of God descends on us and sanctifies our entire being – soul and flesh – communicating to it Divine nature, vivifying, deifying and edifying for eternal life.”</w:t>
      </w:r>
      <w:r w:rsidRPr="006130AA">
        <w:rPr>
          <w:rStyle w:val="FootnoteReference"/>
          <w:rFonts w:asciiTheme="minorHAnsi" w:hAnsiTheme="minorHAnsi" w:cstheme="minorHAnsi"/>
        </w:rPr>
        <w:footnoteReference w:id="37"/>
      </w:r>
      <w:r w:rsidRPr="002D7706">
        <w:rPr>
          <w:rFonts w:asciiTheme="minorHAnsi" w:hAnsiTheme="minorHAnsi" w:cstheme="minorHAnsi"/>
          <w:lang w:val="en-US"/>
        </w:rPr>
        <w:t xml:space="preserve"> This means, of course, that theosis is not possible outside of the Church, which is the dispenser of sacramental grace. Lossky comments that in the Church exist “all the objective conditions” for theosis.</w:t>
      </w:r>
      <w:r w:rsidRPr="006130AA">
        <w:rPr>
          <w:rStyle w:val="FootnoteReference"/>
          <w:rFonts w:asciiTheme="minorHAnsi" w:hAnsiTheme="minorHAnsi" w:cstheme="minorHAnsi"/>
          <w:lang w:bidi="he-IL"/>
        </w:rPr>
        <w:footnoteReference w:id="38"/>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John of Damascus writes the following concerning the role of the Eucharist in the attainment of theosis: “</w:t>
      </w:r>
      <w:r w:rsidRPr="002D7706">
        <w:rPr>
          <w:rFonts w:asciiTheme="minorHAnsi" w:hAnsiTheme="minorHAnsi" w:cstheme="minorHAnsi"/>
          <w:lang w:val="en-US" w:eastAsia="en-US" w:bidi="he-IL"/>
        </w:rPr>
        <w:t>Participation is spoken of; for through it we partake of the divinity of Jesus. Communion, too, is spoken of, and it is an actual communion, because through it we have communion with Christ and share in His flesh and His divinity</w:t>
      </w:r>
      <w:r w:rsidRPr="002D7706">
        <w:rPr>
          <w:rFonts w:asciiTheme="minorHAnsi" w:hAnsiTheme="minorHAnsi" w:cstheme="minorHAnsi"/>
          <w:lang w:val="en-US"/>
        </w:rPr>
        <w:t>.”</w:t>
      </w:r>
      <w:r w:rsidRPr="006130AA">
        <w:rPr>
          <w:rStyle w:val="FootnoteReference"/>
          <w:rFonts w:asciiTheme="minorHAnsi" w:hAnsiTheme="minorHAnsi" w:cstheme="minorHAnsi"/>
        </w:rPr>
        <w:footnoteReference w:id="39"/>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In Orthodox thought, grace is communicated not only through sacraments, but also through the veneration of Mary, icons, the cross, and relics of the Saints.</w:t>
      </w:r>
      <w:r w:rsidRPr="006130AA">
        <w:rPr>
          <w:rStyle w:val="FootnoteReference"/>
          <w:rFonts w:asciiTheme="minorHAnsi" w:hAnsiTheme="minorHAnsi" w:cstheme="minorHAnsi"/>
        </w:rPr>
        <w:footnoteReference w:id="40"/>
      </w:r>
      <w:r w:rsidRPr="002D7706">
        <w:rPr>
          <w:rFonts w:asciiTheme="minorHAnsi" w:hAnsiTheme="minorHAnsi" w:cstheme="minorHAnsi"/>
          <w:lang w:val="en-US"/>
        </w:rPr>
        <w:t xml:space="preserve"> Ilarion, for example, claims, “The cross is a symbol of Christ Himself and is endowed with miraculous power,” and, “We never pray to an icon itself, but we appeal to the cross as to something that can hear us.”</w:t>
      </w:r>
      <w:r w:rsidRPr="006130AA">
        <w:rPr>
          <w:rStyle w:val="FootnoteReference"/>
          <w:rFonts w:asciiTheme="minorHAnsi" w:hAnsiTheme="minorHAnsi" w:cstheme="minorHAnsi"/>
        </w:rPr>
        <w:footnoteReference w:id="41"/>
      </w:r>
      <w:r w:rsidRPr="002D7706">
        <w:rPr>
          <w:rFonts w:asciiTheme="minorHAnsi" w:hAnsiTheme="minorHAnsi" w:cstheme="minorHAnsi"/>
          <w:lang w:val="en-US"/>
        </w:rPr>
        <w:t xml:space="preserve"> Mantzaridis comments on the deifying power of relics: </w:t>
      </w:r>
    </w:p>
    <w:p w:rsidR="0027038D" w:rsidRPr="002D7706" w:rsidRDefault="0027038D" w:rsidP="0027038D">
      <w:pPr>
        <w:ind w:firstLine="426"/>
        <w:rPr>
          <w:rFonts w:asciiTheme="minorHAnsi" w:hAnsiTheme="minorHAnsi" w:cstheme="minorHAnsi"/>
          <w:lang w:val="en-US"/>
        </w:rPr>
      </w:pPr>
      <w:r>
        <w:rPr>
          <w:rFonts w:asciiTheme="minorHAnsi" w:hAnsiTheme="minorHAnsi" w:cstheme="minorHAnsi"/>
          <w:lang w:val="en-US"/>
        </w:rPr>
        <w:t xml:space="preserve"> </w:t>
      </w:r>
    </w:p>
    <w:p w:rsidR="0027038D" w:rsidRPr="002D7706" w:rsidRDefault="0027038D" w:rsidP="0027038D">
      <w:pPr>
        <w:ind w:left="709"/>
        <w:rPr>
          <w:rFonts w:asciiTheme="minorHAnsi" w:eastAsia="MS Mincho" w:hAnsiTheme="minorHAnsi" w:cstheme="minorHAnsi"/>
          <w:lang w:val="en-US" w:eastAsia="ja-JP"/>
        </w:rPr>
      </w:pPr>
      <w:r w:rsidRPr="002D7706">
        <w:rPr>
          <w:rFonts w:asciiTheme="minorHAnsi" w:hAnsiTheme="minorHAnsi" w:cstheme="minorHAnsi"/>
          <w:lang w:val="en-US" w:bidi="he-IL"/>
        </w:rPr>
        <w:t>The veneration of the saints’ relics is based on the relation they bear to deifying grace, which, when united with the entire man, does not depart from the body after death, but remains with it, just as Christ’s divinity did not withdraw from His life-giving body at His death on the Cross, but continued to be united with it.</w:t>
      </w:r>
      <w:r w:rsidRPr="006130AA">
        <w:rPr>
          <w:rStyle w:val="FootnoteReference"/>
          <w:rFonts w:asciiTheme="minorHAnsi" w:eastAsia="MS Mincho" w:hAnsiTheme="minorHAnsi" w:cstheme="minorHAnsi"/>
          <w:lang w:eastAsia="ja-JP"/>
        </w:rPr>
        <w:footnoteReference w:id="42"/>
      </w:r>
    </w:p>
    <w:p w:rsidR="0027038D" w:rsidRPr="002D7706" w:rsidRDefault="0027038D" w:rsidP="0027038D">
      <w:pPr>
        <w:ind w:firstLine="426"/>
        <w:rPr>
          <w:rFonts w:asciiTheme="minorHAnsi" w:hAnsiTheme="minorHAnsi" w:cstheme="minorHAnsi"/>
          <w:lang w:val="en-US"/>
        </w:rPr>
      </w:pPr>
    </w:p>
    <w:p w:rsidR="0027038D" w:rsidRPr="001B3E81" w:rsidRDefault="0027038D" w:rsidP="0027038D">
      <w:pPr>
        <w:ind w:firstLine="426"/>
        <w:rPr>
          <w:rFonts w:asciiTheme="minorHAnsi" w:hAnsiTheme="minorHAnsi" w:cstheme="minorHAnsi"/>
          <w:b/>
          <w:bCs/>
          <w:lang w:val="en-US"/>
        </w:rPr>
      </w:pPr>
      <w:r w:rsidRPr="001B3E81">
        <w:rPr>
          <w:rFonts w:asciiTheme="minorHAnsi" w:hAnsiTheme="minorHAnsi" w:cstheme="minorHAnsi"/>
          <w:b/>
          <w:bCs/>
          <w:lang w:val="en-US"/>
        </w:rPr>
        <w:t>2.  Morality</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426"/>
        <w:rPr>
          <w:rFonts w:asciiTheme="minorHAnsi" w:hAnsiTheme="minorHAnsi" w:cstheme="minorHAnsi"/>
          <w:lang w:val="en-US" w:bidi="he-IL"/>
        </w:rPr>
      </w:pPr>
      <w:r w:rsidRPr="002D7706">
        <w:rPr>
          <w:rFonts w:asciiTheme="minorHAnsi" w:hAnsiTheme="minorHAnsi" w:cstheme="minorHAnsi"/>
          <w:lang w:val="en-US"/>
        </w:rPr>
        <w:t>All who undertake the “ascent to God” must conduct themselves accordingly. A lifestyle concurrent with theosis involves undergoing cleansing from sin, performing good deeds</w:t>
      </w:r>
      <w:r>
        <w:rPr>
          <w:rFonts w:asciiTheme="minorHAnsi" w:hAnsiTheme="minorHAnsi" w:cstheme="minorHAnsi"/>
          <w:lang w:val="en-US"/>
        </w:rPr>
        <w:t>,</w:t>
      </w:r>
      <w:r w:rsidRPr="002D7706">
        <w:rPr>
          <w:rFonts w:asciiTheme="minorHAnsi" w:hAnsiTheme="minorHAnsi" w:cstheme="minorHAnsi"/>
          <w:lang w:val="en-US"/>
        </w:rPr>
        <w:t xml:space="preserve"> and demonstrating love. </w:t>
      </w:r>
      <w:r w:rsidRPr="002D7706">
        <w:rPr>
          <w:rFonts w:asciiTheme="minorHAnsi" w:hAnsiTheme="minorHAnsi" w:cstheme="minorHAnsi"/>
          <w:lang w:val="en-US" w:bidi="he-IL"/>
        </w:rPr>
        <w:t>Peter</w:t>
      </w:r>
      <w:r w:rsidRPr="002D7706">
        <w:rPr>
          <w:rFonts w:asciiTheme="minorHAnsi" w:hAnsiTheme="minorHAnsi" w:cstheme="minorHAnsi"/>
          <w:lang w:val="en-US"/>
        </w:rPr>
        <w:t xml:space="preserve"> of Damascus (12</w:t>
      </w:r>
      <w:r>
        <w:rPr>
          <w:rFonts w:asciiTheme="minorHAnsi" w:hAnsiTheme="minorHAnsi" w:cstheme="minorHAnsi"/>
          <w:lang w:val="en-US"/>
        </w:rPr>
        <w:t>th</w:t>
      </w:r>
      <w:r w:rsidRPr="002D7706">
        <w:rPr>
          <w:rFonts w:asciiTheme="minorHAnsi" w:hAnsiTheme="minorHAnsi" w:cstheme="minorHAnsi"/>
          <w:lang w:val="en-US"/>
        </w:rPr>
        <w:t xml:space="preserve"> c.) writes, “(Commandments) make a person god because of Him, Who gave (them).”</w:t>
      </w:r>
      <w:r w:rsidRPr="006130AA">
        <w:rPr>
          <w:rStyle w:val="FootnoteReference"/>
          <w:rFonts w:asciiTheme="minorHAnsi" w:hAnsiTheme="minorHAnsi" w:cstheme="minorHAnsi"/>
        </w:rPr>
        <w:footnoteReference w:id="43"/>
      </w:r>
      <w:r w:rsidRPr="002D7706">
        <w:rPr>
          <w:rFonts w:asciiTheme="minorHAnsi" w:hAnsiTheme="minorHAnsi" w:cstheme="minorHAnsi"/>
          <w:lang w:val="en-US"/>
        </w:rPr>
        <w:t xml:space="preserve"> Maximus the Confessor adds, “Love makes a person god,”</w:t>
      </w:r>
      <w:r w:rsidRPr="006130AA">
        <w:rPr>
          <w:rStyle w:val="FootnoteReference"/>
          <w:rFonts w:asciiTheme="minorHAnsi" w:hAnsiTheme="minorHAnsi" w:cstheme="minorHAnsi"/>
        </w:rPr>
        <w:footnoteReference w:id="44"/>
      </w:r>
      <w:r w:rsidRPr="002D7706">
        <w:rPr>
          <w:rFonts w:asciiTheme="minorHAnsi" w:hAnsiTheme="minorHAnsi" w:cstheme="minorHAnsi"/>
          <w:lang w:val="en-US"/>
        </w:rPr>
        <w:t xml:space="preserve"> and, “</w:t>
      </w:r>
      <w:r w:rsidRPr="00DE4734">
        <w:rPr>
          <w:rFonts w:asciiTheme="minorHAnsi" w:hAnsiTheme="minorHAnsi" w:cstheme="minorHAnsi"/>
          <w:lang w:val="en-US"/>
        </w:rPr>
        <w:t>Fulfillment of the commandments unites with Christ, for they are his energies</w:t>
      </w:r>
      <w:r w:rsidRPr="002D7706">
        <w:rPr>
          <w:rFonts w:asciiTheme="minorHAnsi" w:hAnsiTheme="minorHAnsi" w:cstheme="minorHAnsi"/>
          <w:lang w:val="en-US" w:bidi="he-IL"/>
        </w:rPr>
        <w:t>.”</w:t>
      </w:r>
      <w:r w:rsidRPr="009E568E">
        <w:rPr>
          <w:rStyle w:val="FootnoteReference"/>
          <w:rFonts w:asciiTheme="minorHAnsi" w:hAnsiTheme="minorHAnsi" w:cstheme="minorHAnsi"/>
          <w:lang w:bidi="he-IL"/>
        </w:rPr>
        <w:footnoteReference w:id="45"/>
      </w:r>
      <w:r w:rsidRPr="002D7706">
        <w:rPr>
          <w:rFonts w:asciiTheme="minorHAnsi" w:hAnsiTheme="minorHAnsi" w:cstheme="minorHAnsi"/>
          <w:lang w:val="en-US" w:bidi="he-IL"/>
        </w:rPr>
        <w:t xml:space="preserve"> Finally, we cite Gregory of Nazianzus (4</w:t>
      </w:r>
      <w:r>
        <w:rPr>
          <w:rFonts w:asciiTheme="minorHAnsi" w:hAnsiTheme="minorHAnsi" w:cstheme="minorHAnsi"/>
          <w:lang w:val="en-US" w:bidi="he-IL"/>
        </w:rPr>
        <w:t>th</w:t>
      </w:r>
      <w:r w:rsidRPr="002D7706">
        <w:rPr>
          <w:rFonts w:asciiTheme="minorHAnsi" w:hAnsiTheme="minorHAnsi" w:cstheme="minorHAnsi"/>
          <w:lang w:val="en-US" w:bidi="he-IL"/>
        </w:rPr>
        <w:t xml:space="preserve"> c.): “Apply your efforts not in doing evil, but in doing good, if you want to be god.”</w:t>
      </w:r>
      <w:r w:rsidRPr="006130AA">
        <w:rPr>
          <w:rStyle w:val="FootnoteReference"/>
          <w:rFonts w:asciiTheme="minorHAnsi" w:hAnsiTheme="minorHAnsi" w:cstheme="minorHAnsi"/>
          <w:lang w:val="en-US" w:bidi="he-IL"/>
        </w:rPr>
        <w:footnoteReference w:id="46"/>
      </w:r>
      <w:r w:rsidRPr="002D7706">
        <w:rPr>
          <w:rFonts w:asciiTheme="minorHAnsi" w:hAnsiTheme="minorHAnsi" w:cstheme="minorHAnsi"/>
          <w:lang w:val="en-US" w:bidi="he-IL"/>
        </w:rPr>
        <w:t xml:space="preserve"> </w:t>
      </w:r>
    </w:p>
    <w:p w:rsidR="0027038D" w:rsidRPr="002D7706" w:rsidRDefault="0027038D" w:rsidP="0027038D">
      <w:pPr>
        <w:ind w:firstLine="426"/>
        <w:rPr>
          <w:rFonts w:asciiTheme="minorHAnsi" w:hAnsiTheme="minorHAnsi" w:cstheme="minorHAnsi"/>
          <w:lang w:val="en-US" w:bidi="he-IL"/>
        </w:rPr>
      </w:pPr>
    </w:p>
    <w:p w:rsidR="0027038D" w:rsidRPr="001B3E81" w:rsidRDefault="0027038D" w:rsidP="0027038D">
      <w:pPr>
        <w:ind w:firstLine="426"/>
        <w:rPr>
          <w:rFonts w:asciiTheme="minorHAnsi" w:hAnsiTheme="minorHAnsi" w:cstheme="minorHAnsi"/>
          <w:b/>
          <w:bCs/>
          <w:lang w:val="en-US"/>
        </w:rPr>
      </w:pPr>
      <w:r w:rsidRPr="001B3E81">
        <w:rPr>
          <w:rFonts w:asciiTheme="minorHAnsi" w:hAnsiTheme="minorHAnsi" w:cstheme="minorHAnsi"/>
          <w:b/>
          <w:bCs/>
          <w:lang w:val="en-US"/>
        </w:rPr>
        <w:t xml:space="preserve">3.  Mystical reflection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In the writings of both ancient writers and modern mystics, we encounter the connection of mystical contemplation with the attainment of deification. </w:t>
      </w:r>
      <w:r w:rsidRPr="002D7706">
        <w:rPr>
          <w:rFonts w:asciiTheme="minorHAnsi" w:hAnsiTheme="minorHAnsi" w:cstheme="minorHAnsi"/>
          <w:lang w:val="en-US" w:bidi="he-IL"/>
        </w:rPr>
        <w:t xml:space="preserve">Gregory of Nazianzus, for example, speaks of prayer, ascetic effort, mystical experience, raising the mind to God, and standing before God in prayerful, mystical </w:t>
      </w:r>
      <w:r w:rsidRPr="002D7706">
        <w:rPr>
          <w:rFonts w:asciiTheme="minorHAnsi" w:hAnsiTheme="minorHAnsi" w:cstheme="minorHAnsi"/>
          <w:lang w:val="en-US"/>
        </w:rPr>
        <w:t>contemplation</w:t>
      </w:r>
      <w:r w:rsidRPr="002D7706">
        <w:rPr>
          <w:rFonts w:asciiTheme="minorHAnsi" w:hAnsiTheme="minorHAnsi" w:cstheme="minorHAnsi"/>
          <w:lang w:val="en-US" w:bidi="he-IL"/>
        </w:rPr>
        <w:t>.</w:t>
      </w:r>
      <w:r w:rsidRPr="006130AA">
        <w:rPr>
          <w:rStyle w:val="FootnoteReference"/>
          <w:rFonts w:asciiTheme="minorHAnsi" w:hAnsiTheme="minorHAnsi" w:cstheme="minorHAnsi"/>
          <w:lang w:val="en-US" w:bidi="he-IL"/>
        </w:rPr>
        <w:footnoteReference w:id="47"/>
      </w:r>
      <w:r w:rsidRPr="002D7706">
        <w:rPr>
          <w:rFonts w:asciiTheme="minorHAnsi" w:hAnsiTheme="minorHAnsi" w:cstheme="minorHAnsi"/>
          <w:lang w:val="en-US" w:bidi="he-IL"/>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Rival conceptions exist of how to best attain theosis – through the sacraments or through mystical contemplation.</w:t>
      </w:r>
      <w:r w:rsidRPr="006130AA">
        <w:rPr>
          <w:rStyle w:val="FootnoteReference"/>
          <w:rFonts w:asciiTheme="minorHAnsi" w:hAnsiTheme="minorHAnsi" w:cstheme="minorHAnsi"/>
        </w:rPr>
        <w:footnoteReference w:id="48"/>
      </w:r>
      <w:r w:rsidRPr="002D7706">
        <w:rPr>
          <w:rFonts w:asciiTheme="minorHAnsi" w:hAnsiTheme="minorHAnsi" w:cstheme="minorHAnsi"/>
          <w:lang w:val="en-US"/>
        </w:rPr>
        <w:t xml:space="preserve"> Most adherents of theosis, though, will recogn</w:t>
      </w:r>
      <w:r>
        <w:rPr>
          <w:rFonts w:asciiTheme="minorHAnsi" w:hAnsiTheme="minorHAnsi" w:cstheme="minorHAnsi"/>
          <w:lang w:val="en-US"/>
        </w:rPr>
        <w:t>ize all aspects of the process.</w:t>
      </w:r>
      <w:r w:rsidRPr="002D7706">
        <w:rPr>
          <w:rFonts w:asciiTheme="minorHAnsi" w:hAnsiTheme="minorHAnsi" w:cstheme="minorHAnsi"/>
          <w:lang w:val="en-US"/>
        </w:rPr>
        <w:t xml:space="preserve"> Pseudo-Dionysus (6</w:t>
      </w:r>
      <w:r>
        <w:rPr>
          <w:rFonts w:asciiTheme="minorHAnsi" w:hAnsiTheme="minorHAnsi" w:cstheme="minorHAnsi"/>
          <w:lang w:val="en-US"/>
        </w:rPr>
        <w:t>th</w:t>
      </w:r>
      <w:r w:rsidRPr="002D7706">
        <w:rPr>
          <w:rFonts w:asciiTheme="minorHAnsi" w:hAnsiTheme="minorHAnsi" w:cstheme="minorHAnsi"/>
          <w:lang w:val="en-US"/>
        </w:rPr>
        <w:t xml:space="preserve"> c.), for example, recommended a three-step process for reaching deification though contemplation: cleansing, insight, and union. He also recognized, however, the need for participation in the sacramental life of the Church.</w:t>
      </w:r>
      <w:r w:rsidRPr="006130AA">
        <w:rPr>
          <w:rStyle w:val="FootnoteReference"/>
          <w:rFonts w:asciiTheme="minorHAnsi" w:hAnsiTheme="minorHAnsi" w:cstheme="minorHAnsi"/>
        </w:rPr>
        <w:footnoteReference w:id="49"/>
      </w:r>
      <w:r w:rsidRPr="002D7706">
        <w:rPr>
          <w:rFonts w:asciiTheme="minorHAnsi" w:hAnsiTheme="minorHAnsi" w:cstheme="minorHAnsi"/>
          <w:lang w:val="en-US"/>
        </w:rPr>
        <w:t xml:space="preserve">  Along with contemplation, Maximus the Confessor also emphasized holy living.</w:t>
      </w:r>
      <w:r w:rsidRPr="006130AA">
        <w:rPr>
          <w:rStyle w:val="FootnoteReference"/>
          <w:rFonts w:asciiTheme="minorHAnsi" w:hAnsiTheme="minorHAnsi" w:cstheme="minorHAnsi"/>
        </w:rPr>
        <w:footnoteReference w:id="50"/>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The famous Russian monk-mystic Seraphim of Sarov and theologian Sergei Bulgakov recommend the “self-cleansing” of the believer, so that the Spirit of God might fill him or her.</w:t>
      </w:r>
      <w:r w:rsidRPr="006130AA">
        <w:rPr>
          <w:rStyle w:val="FootnoteReference"/>
          <w:rFonts w:asciiTheme="minorHAnsi" w:hAnsiTheme="minorHAnsi" w:cstheme="minorHAnsi"/>
        </w:rPr>
        <w:footnoteReference w:id="51"/>
      </w:r>
      <w:r w:rsidRPr="002D7706">
        <w:rPr>
          <w:rFonts w:asciiTheme="minorHAnsi" w:hAnsiTheme="minorHAnsi" w:cstheme="minorHAnsi"/>
          <w:lang w:val="en-US"/>
        </w:rPr>
        <w:t xml:space="preserve">  Lossky consider</w:t>
      </w:r>
      <w:r>
        <w:rPr>
          <w:rFonts w:asciiTheme="minorHAnsi" w:hAnsiTheme="minorHAnsi" w:cstheme="minorHAnsi"/>
          <w:lang w:val="en-US"/>
        </w:rPr>
        <w:t>s</w:t>
      </w:r>
      <w:r w:rsidRPr="002D7706">
        <w:rPr>
          <w:rFonts w:asciiTheme="minorHAnsi" w:hAnsiTheme="minorHAnsi" w:cstheme="minorHAnsi"/>
          <w:lang w:val="en-US"/>
        </w:rPr>
        <w:t xml:space="preserve"> the monastic life a useful, but not </w:t>
      </w:r>
      <w:r>
        <w:rPr>
          <w:rFonts w:asciiTheme="minorHAnsi" w:hAnsiTheme="minorHAnsi" w:cstheme="minorHAnsi"/>
          <w:lang w:val="en-US"/>
        </w:rPr>
        <w:t>obligatory</w:t>
      </w:r>
      <w:r w:rsidRPr="002D7706">
        <w:rPr>
          <w:rFonts w:asciiTheme="minorHAnsi" w:hAnsiTheme="minorHAnsi" w:cstheme="minorHAnsi"/>
          <w:lang w:val="en-US"/>
        </w:rPr>
        <w:t>, aid to contemplation.</w:t>
      </w:r>
      <w:r w:rsidRPr="006130AA">
        <w:rPr>
          <w:rStyle w:val="FootnoteReference"/>
          <w:rFonts w:asciiTheme="minorHAnsi" w:hAnsiTheme="minorHAnsi" w:cstheme="minorHAnsi"/>
        </w:rPr>
        <w:footnoteReference w:id="52"/>
      </w:r>
      <w:r w:rsidRPr="002D7706">
        <w:rPr>
          <w:rFonts w:asciiTheme="minorHAnsi" w:hAnsiTheme="minorHAnsi" w:cstheme="minorHAnsi"/>
          <w:lang w:val="en-US"/>
        </w:rPr>
        <w:t xml:space="preserve">  </w:t>
      </w:r>
      <w:r>
        <w:rPr>
          <w:rFonts w:asciiTheme="minorHAnsi" w:hAnsiTheme="minorHAnsi" w:cstheme="minorHAnsi"/>
          <w:lang w:val="en-US"/>
        </w:rPr>
        <w:t xml:space="preserve"> </w:t>
      </w:r>
    </w:p>
    <w:p w:rsidR="0027038D" w:rsidRPr="002D7706" w:rsidRDefault="0027038D" w:rsidP="0027038D">
      <w:pPr>
        <w:ind w:firstLine="360"/>
        <w:rPr>
          <w:rFonts w:asciiTheme="minorHAnsi" w:hAnsiTheme="minorHAnsi" w:cstheme="minorHAnsi"/>
          <w:lang w:val="en-US" w:bidi="he-IL"/>
        </w:rPr>
      </w:pPr>
      <w:r w:rsidRPr="002D7706">
        <w:rPr>
          <w:rFonts w:asciiTheme="minorHAnsi" w:hAnsiTheme="minorHAnsi" w:cstheme="minorHAnsi"/>
          <w:lang w:val="en-US"/>
        </w:rPr>
        <w:t xml:space="preserve">The essence of the mystical path to theosis, unquestionably, is prayer. Mystical prayer, however, differs from the typical prayer of request to God. It is a prayer of “complete peace and rest” and the “silence of the mind” or </w:t>
      </w:r>
      <w:r w:rsidRPr="002D7706">
        <w:rPr>
          <w:rFonts w:asciiTheme="minorHAnsi" w:hAnsiTheme="minorHAnsi" w:cstheme="minorHAnsi"/>
          <w:i/>
          <w:iCs/>
          <w:lang w:val="en-US" w:bidi="he-IL"/>
        </w:rPr>
        <w:t xml:space="preserve">hesychia </w:t>
      </w:r>
      <w:r w:rsidRPr="002D7706">
        <w:rPr>
          <w:rFonts w:asciiTheme="minorHAnsi" w:hAnsiTheme="minorHAnsi" w:cstheme="minorHAnsi"/>
          <w:lang w:val="en-US" w:bidi="he-IL"/>
        </w:rPr>
        <w:t>and leads to a “state higher than prayer.”</w:t>
      </w:r>
      <w:r w:rsidRPr="006130AA">
        <w:rPr>
          <w:rStyle w:val="FootnoteReference"/>
          <w:rFonts w:asciiTheme="minorHAnsi" w:hAnsiTheme="minorHAnsi" w:cstheme="minorHAnsi"/>
          <w:lang w:bidi="he-IL"/>
        </w:rPr>
        <w:footnoteReference w:id="53"/>
      </w:r>
      <w:r>
        <w:rPr>
          <w:rFonts w:asciiTheme="minorHAnsi" w:hAnsiTheme="minorHAnsi" w:cstheme="minorHAnsi"/>
          <w:lang w:val="en-US" w:bidi="he-IL"/>
        </w:rPr>
        <w:t xml:space="preserve"> </w:t>
      </w:r>
      <w:r w:rsidRPr="002D7706">
        <w:rPr>
          <w:rFonts w:asciiTheme="minorHAnsi" w:hAnsiTheme="minorHAnsi" w:cstheme="minorHAnsi"/>
          <w:lang w:val="en-US" w:bidi="he-IL"/>
        </w:rPr>
        <w:t>It is often accompanied by tears. The hesychic discipline of prayer involves constantly repeating the “Jesus prayer”: “Lord Jesus Christ, have mercy on me; Son of God, have mercy on me.”</w:t>
      </w:r>
      <w:r w:rsidRPr="006130AA">
        <w:rPr>
          <w:rStyle w:val="FootnoteReference"/>
          <w:rFonts w:asciiTheme="minorHAnsi" w:hAnsiTheme="minorHAnsi" w:cstheme="minorHAnsi"/>
        </w:rPr>
        <w:footnoteReference w:id="54"/>
      </w:r>
      <w:r>
        <w:rPr>
          <w:rFonts w:asciiTheme="minorHAnsi" w:hAnsiTheme="minorHAnsi" w:cstheme="minorHAnsi"/>
          <w:lang w:val="en-US" w:bidi="he-IL"/>
        </w:rPr>
        <w:t xml:space="preserve"> </w:t>
      </w:r>
      <w:r w:rsidRPr="002D7706">
        <w:rPr>
          <w:rFonts w:asciiTheme="minorHAnsi" w:hAnsiTheme="minorHAnsi" w:cstheme="minorHAnsi"/>
          <w:lang w:val="en-US" w:bidi="he-IL"/>
        </w:rPr>
        <w:t>While thus praying the supplicant adopts a bodily posture similar</w:t>
      </w:r>
      <w:r>
        <w:rPr>
          <w:rFonts w:asciiTheme="minorHAnsi" w:hAnsiTheme="minorHAnsi" w:cstheme="minorHAnsi"/>
          <w:lang w:val="en-US" w:bidi="he-IL"/>
        </w:rPr>
        <w:t xml:space="preserve"> to Hindu meditative practice. </w:t>
      </w:r>
      <w:r w:rsidRPr="002D7706">
        <w:rPr>
          <w:rFonts w:asciiTheme="minorHAnsi" w:hAnsiTheme="minorHAnsi" w:cstheme="minorHAnsi"/>
          <w:lang w:val="en-US" w:bidi="he-IL"/>
        </w:rPr>
        <w:t xml:space="preserve">The desired goal of the hesychic discipline is a vision of the Light of Tabor, which is the light that engulfed Christ during the moment of His transfiguration on Mount Tabor. </w:t>
      </w:r>
    </w:p>
    <w:p w:rsidR="0027038D" w:rsidRPr="002D7706" w:rsidRDefault="0027038D" w:rsidP="0027038D">
      <w:pPr>
        <w:ind w:firstLine="426"/>
        <w:rPr>
          <w:rFonts w:asciiTheme="minorHAnsi" w:hAnsiTheme="minorHAnsi" w:cstheme="minorHAnsi"/>
          <w:lang w:val="en-US"/>
        </w:rPr>
      </w:pPr>
    </w:p>
    <w:p w:rsidR="0027038D" w:rsidRPr="001B3E81" w:rsidRDefault="0027038D" w:rsidP="0027038D">
      <w:pPr>
        <w:ind w:firstLine="360"/>
        <w:rPr>
          <w:rFonts w:asciiTheme="minorHAnsi" w:hAnsiTheme="minorHAnsi" w:cstheme="minorHAnsi"/>
          <w:b/>
          <w:bCs/>
          <w:lang w:val="en-US"/>
        </w:rPr>
      </w:pPr>
      <w:r w:rsidRPr="001B3E81">
        <w:rPr>
          <w:rFonts w:asciiTheme="minorHAnsi" w:hAnsiTheme="minorHAnsi" w:cstheme="minorHAnsi"/>
          <w:b/>
          <w:bCs/>
          <w:lang w:val="en-US"/>
        </w:rPr>
        <w:t>4.  Final Attainment</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360"/>
        <w:rPr>
          <w:rFonts w:asciiTheme="minorHAnsi" w:hAnsiTheme="minorHAnsi" w:cstheme="minorHAnsi"/>
          <w:lang w:val="en-US"/>
        </w:rPr>
      </w:pPr>
      <w:r w:rsidRPr="002D7706">
        <w:rPr>
          <w:rFonts w:asciiTheme="minorHAnsi" w:hAnsiTheme="minorHAnsi" w:cstheme="minorHAnsi"/>
          <w:lang w:val="en-US"/>
        </w:rPr>
        <w:t>The consensus of Orthodox opinion consigns the attainment of theosis to the time of Christ’s Second Coming. Even after death, the process of deification continues. We may note two exceptions to this position. Maximus the Confessor felt that the notable Orthodox monk-mystic Simeon the New Theologian (10</w:t>
      </w:r>
      <w:r>
        <w:rPr>
          <w:rFonts w:asciiTheme="minorHAnsi" w:hAnsiTheme="minorHAnsi" w:cstheme="minorHAnsi"/>
          <w:lang w:val="en-US"/>
        </w:rPr>
        <w:t>th</w:t>
      </w:r>
      <w:r w:rsidRPr="002D7706">
        <w:rPr>
          <w:rFonts w:asciiTheme="minorHAnsi" w:hAnsiTheme="minorHAnsi" w:cstheme="minorHAnsi"/>
          <w:lang w:val="en-US"/>
        </w:rPr>
        <w:t>-11</w:t>
      </w:r>
      <w:r>
        <w:rPr>
          <w:rFonts w:asciiTheme="minorHAnsi" w:hAnsiTheme="minorHAnsi" w:cstheme="minorHAnsi"/>
          <w:lang w:val="en-US"/>
        </w:rPr>
        <w:t>th</w:t>
      </w:r>
      <w:r w:rsidRPr="002D7706">
        <w:rPr>
          <w:rFonts w:asciiTheme="minorHAnsi" w:hAnsiTheme="minorHAnsi" w:cstheme="minorHAnsi"/>
          <w:lang w:val="en-US"/>
        </w:rPr>
        <w:t xml:space="preserve"> c.) attained theosis in this life. Simeon, on the other hand, considered theosis an eternal process without end.</w:t>
      </w:r>
      <w:r w:rsidRPr="006130AA">
        <w:rPr>
          <w:rStyle w:val="FootnoteReference"/>
          <w:rFonts w:asciiTheme="minorHAnsi" w:hAnsiTheme="minorHAnsi" w:cstheme="minorHAnsi"/>
          <w:lang w:val="en-US"/>
        </w:rPr>
        <w:footnoteReference w:id="55"/>
      </w:r>
    </w:p>
    <w:p w:rsidR="0027038D" w:rsidRPr="002D7706" w:rsidRDefault="0027038D" w:rsidP="0027038D">
      <w:pPr>
        <w:ind w:firstLine="360"/>
        <w:rPr>
          <w:rFonts w:asciiTheme="minorHAnsi" w:hAnsiTheme="minorHAnsi" w:cstheme="minorHAnsi"/>
          <w:lang w:val="en-US"/>
        </w:rPr>
      </w:pPr>
    </w:p>
    <w:p w:rsidR="0027038D" w:rsidRPr="002D7706" w:rsidRDefault="0027038D" w:rsidP="0027038D">
      <w:pPr>
        <w:pStyle w:val="Heading3"/>
        <w:rPr>
          <w:rFonts w:cstheme="minorHAnsi"/>
          <w:lang w:val="en-US"/>
        </w:rPr>
      </w:pPr>
      <w:r w:rsidRPr="002D7706">
        <w:rPr>
          <w:rFonts w:cstheme="minorHAnsi"/>
          <w:lang w:val="en-US"/>
        </w:rPr>
        <w:t>D. Defense of Theosis</w:t>
      </w:r>
    </w:p>
    <w:p w:rsidR="0027038D" w:rsidRPr="002D7706" w:rsidRDefault="0027038D" w:rsidP="0027038D">
      <w:pPr>
        <w:ind w:firstLine="426"/>
        <w:rPr>
          <w:rFonts w:asciiTheme="minorHAnsi" w:hAnsiTheme="minorHAnsi" w:cstheme="minorHAnsi"/>
          <w:lang w:val="en-US"/>
        </w:rPr>
      </w:pP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In defense of the doctrine of deification, its adherents appeal both to Scriptural and historical authority. Here, we must keep in mind that for the Orthodox the historical traditions of the Church hold near equal, if not equal authority as the Scriptures – a conviction that </w:t>
      </w:r>
      <w:r>
        <w:rPr>
          <w:rFonts w:asciiTheme="minorHAnsi" w:hAnsiTheme="minorHAnsi" w:cstheme="minorHAnsi"/>
          <w:lang w:val="en-US"/>
        </w:rPr>
        <w:t>E</w:t>
      </w:r>
      <w:r w:rsidRPr="002D7706">
        <w:rPr>
          <w:rFonts w:asciiTheme="minorHAnsi" w:hAnsiTheme="minorHAnsi" w:cstheme="minorHAnsi"/>
          <w:lang w:val="en-US"/>
        </w:rPr>
        <w:t>vangelicals to not share. We will discuss biblical support in this section and historical evidence in the next.</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Starting in Genesis 1, adherents of theosis make a distinction between God’s “image” in persons and His “likeness.” Orthodox understand God’s image as a “divine element” or “spark of the divinity” in every person.</w:t>
      </w:r>
      <w:r w:rsidRPr="00212ED7">
        <w:rPr>
          <w:rStyle w:val="FootnoteReference"/>
          <w:rFonts w:asciiTheme="minorHAnsi" w:hAnsiTheme="minorHAnsi" w:cstheme="minorHAnsi"/>
        </w:rPr>
        <w:footnoteReference w:id="56"/>
      </w:r>
      <w:r w:rsidRPr="002D7706">
        <w:rPr>
          <w:rFonts w:asciiTheme="minorHAnsi" w:hAnsiTheme="minorHAnsi" w:cstheme="minorHAnsi"/>
          <w:lang w:val="en-US"/>
        </w:rPr>
        <w:t xml:space="preserve"> God’s likeness, then, is the development of that image to the attainment of deification, or theosis. Ilarion explains it thus, “In creating people according to His image and likeness</w:t>
      </w:r>
      <w:r>
        <w:rPr>
          <w:rFonts w:asciiTheme="minorHAnsi" w:hAnsiTheme="minorHAnsi" w:cstheme="minorHAnsi"/>
          <w:lang w:val="en-US"/>
        </w:rPr>
        <w:t>,</w:t>
      </w:r>
      <w:r w:rsidRPr="002D7706">
        <w:rPr>
          <w:rFonts w:asciiTheme="minorHAnsi" w:hAnsiTheme="minorHAnsi" w:cstheme="minorHAnsi"/>
          <w:lang w:val="en-US"/>
        </w:rPr>
        <w:t xml:space="preserve"> God creates a being called to become god. People are god-people in their potential.”</w:t>
      </w:r>
      <w:r w:rsidRPr="00212ED7">
        <w:rPr>
          <w:rStyle w:val="FootnoteReference"/>
          <w:rFonts w:asciiTheme="minorHAnsi" w:hAnsiTheme="minorHAnsi" w:cstheme="minorHAnsi"/>
        </w:rPr>
        <w:footnoteReference w:id="57"/>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eastAsia="en-US" w:bidi="he-IL"/>
        </w:rPr>
      </w:pPr>
      <w:r w:rsidRPr="002D7706">
        <w:rPr>
          <w:rFonts w:asciiTheme="minorHAnsi" w:hAnsiTheme="minorHAnsi" w:cstheme="minorHAnsi"/>
          <w:lang w:val="en-US"/>
        </w:rPr>
        <w:t>Next, they note several Old Testament examples where people either are named “god” or fulfill that function. For example, God says to Moses, “</w:t>
      </w:r>
      <w:r w:rsidRPr="002D7706">
        <w:rPr>
          <w:rFonts w:asciiTheme="minorHAnsi" w:hAnsiTheme="minorHAnsi" w:cstheme="minorHAnsi"/>
          <w:lang w:val="en-US" w:eastAsia="en-US" w:bidi="he-IL"/>
        </w:rPr>
        <w:t>See, I make y</w:t>
      </w:r>
      <w:r>
        <w:rPr>
          <w:rFonts w:asciiTheme="minorHAnsi" w:hAnsiTheme="minorHAnsi" w:cstheme="minorHAnsi"/>
          <w:lang w:val="en-US" w:eastAsia="en-US" w:bidi="he-IL"/>
        </w:rPr>
        <w:t>ou as God to Pharaoh” (Ex 7:1).</w:t>
      </w:r>
      <w:r w:rsidRPr="002D7706">
        <w:rPr>
          <w:rFonts w:asciiTheme="minorHAnsi" w:hAnsiTheme="minorHAnsi" w:cstheme="minorHAnsi"/>
          <w:lang w:val="en-US" w:eastAsia="en-US" w:bidi="he-IL"/>
        </w:rPr>
        <w:t xml:space="preserve"> In a number of passages, leaders or judges of Israel are called </w:t>
      </w:r>
      <w:r w:rsidRPr="002D7706">
        <w:rPr>
          <w:rFonts w:asciiTheme="minorHAnsi" w:hAnsiTheme="minorHAnsi" w:cstheme="minorHAnsi"/>
          <w:i/>
          <w:iCs/>
          <w:lang w:val="en-US" w:eastAsia="en-US" w:bidi="he-IL"/>
        </w:rPr>
        <w:t>Elohim</w:t>
      </w:r>
      <w:r w:rsidRPr="002D7706">
        <w:rPr>
          <w:rFonts w:asciiTheme="minorHAnsi" w:hAnsiTheme="minorHAnsi" w:cstheme="minorHAnsi"/>
          <w:lang w:val="en-US" w:eastAsia="en-US" w:bidi="he-IL"/>
        </w:rPr>
        <w:t xml:space="preserve"> (Ex 21:6; 22:8; Ps 81:6). Other passages refer to “sons of God” (Gen 6:2; Ps 2:7). The words of Christ in John 10:34 are especially significant, “Has it not been written in your Law, ‘I said, you are gods?’” In John 17:21-22, Christ describes a union of believers with the Godhead: “… that they may all be one; even as You, Father, are in Me and I in You, that they also may be in Us, so that the world may believe that You sent Me. The glory which You have given Me I have given to them, that they may be one, just as We are one.” </w:t>
      </w:r>
    </w:p>
    <w:p w:rsidR="0027038D" w:rsidRPr="002D7706" w:rsidRDefault="0027038D" w:rsidP="0027038D">
      <w:pPr>
        <w:ind w:firstLine="426"/>
        <w:rPr>
          <w:rFonts w:asciiTheme="minorHAnsi" w:hAnsiTheme="minorHAnsi" w:cstheme="minorHAnsi"/>
          <w:lang w:val="en-US" w:eastAsia="en-US" w:bidi="he-IL"/>
        </w:rPr>
      </w:pPr>
      <w:r w:rsidRPr="002D7706">
        <w:rPr>
          <w:rFonts w:asciiTheme="minorHAnsi" w:hAnsiTheme="minorHAnsi" w:cstheme="minorHAnsi"/>
          <w:lang w:val="en-US" w:eastAsia="en-US" w:bidi="he-IL"/>
        </w:rPr>
        <w:t>Orthodox thinkers see hints of theosis in the teachings of Paul as well. Believers are adopted by God (Gal 3:26; 4:5; Rom 8:15; 9:26), Christ lives in them (Gal 2:20), they have the mind of Christ (1 Cor 2:16)</w:t>
      </w:r>
      <w:r>
        <w:rPr>
          <w:rFonts w:asciiTheme="minorHAnsi" w:hAnsiTheme="minorHAnsi" w:cstheme="minorHAnsi"/>
          <w:lang w:val="en-US" w:eastAsia="en-US" w:bidi="he-IL"/>
        </w:rPr>
        <w:t>,</w:t>
      </w:r>
      <w:r w:rsidRPr="002D7706">
        <w:rPr>
          <w:rFonts w:asciiTheme="minorHAnsi" w:hAnsiTheme="minorHAnsi" w:cstheme="minorHAnsi"/>
          <w:lang w:val="en-US" w:eastAsia="en-US" w:bidi="he-IL"/>
        </w:rPr>
        <w:t xml:space="preserve"> and are being transformed into His image (2 Cor 3:18; Rom 12:2; 8:29). According to 2 Corinthians 8:9</w:t>
      </w:r>
      <w:r>
        <w:rPr>
          <w:rFonts w:asciiTheme="minorHAnsi" w:hAnsiTheme="minorHAnsi" w:cstheme="minorHAnsi"/>
          <w:lang w:val="en-US" w:eastAsia="en-US" w:bidi="he-IL"/>
        </w:rPr>
        <w:t>,</w:t>
      </w:r>
      <w:r w:rsidRPr="002D7706">
        <w:rPr>
          <w:rFonts w:asciiTheme="minorHAnsi" w:hAnsiTheme="minorHAnsi" w:cstheme="minorHAnsi"/>
          <w:lang w:val="en-US" w:eastAsia="en-US" w:bidi="he-IL"/>
        </w:rPr>
        <w:t xml:space="preserve"> Christ impoverished Himself to enrich the believer, which is interpreted in terms of the descent of God to people and the ascent of people to God. The fourth-century ascetic Marcus Eremita provides the following commentary on 2 Corinthians 8:9: </w:t>
      </w:r>
    </w:p>
    <w:p w:rsidR="0027038D" w:rsidRPr="002D7706" w:rsidRDefault="0027038D" w:rsidP="0027038D">
      <w:pPr>
        <w:ind w:firstLine="426"/>
        <w:rPr>
          <w:rFonts w:asciiTheme="minorHAnsi" w:hAnsiTheme="minorHAnsi" w:cstheme="minorHAnsi"/>
          <w:lang w:val="en-US" w:eastAsia="en-US" w:bidi="he-IL"/>
        </w:rPr>
      </w:pPr>
    </w:p>
    <w:p w:rsidR="0027038D" w:rsidRPr="002D7706" w:rsidRDefault="0027038D" w:rsidP="0027038D">
      <w:pPr>
        <w:ind w:left="720"/>
        <w:rPr>
          <w:rFonts w:asciiTheme="minorHAnsi" w:hAnsiTheme="minorHAnsi" w:cstheme="minorHAnsi"/>
          <w:lang w:val="en-US" w:eastAsia="en-US" w:bidi="he-IL"/>
        </w:rPr>
      </w:pPr>
      <w:r w:rsidRPr="002D7706">
        <w:rPr>
          <w:rFonts w:asciiTheme="minorHAnsi" w:hAnsiTheme="minorHAnsi" w:cstheme="minorHAnsi"/>
          <w:lang w:val="en-US"/>
        </w:rPr>
        <w:t>(Christ) became what we are, so that we might become what He is. The Logos became man, so that man might become Logos. Being rich, He became poor for our sakes, so that through His poverty we might become rich. In His great love for man, He became like us, so that through every virtue we might become like Him.</w:t>
      </w:r>
      <w:r w:rsidRPr="00212ED7">
        <w:rPr>
          <w:rStyle w:val="FootnoteReference"/>
          <w:rFonts w:asciiTheme="minorHAnsi" w:eastAsia="MS Mincho" w:hAnsiTheme="minorHAnsi" w:cstheme="minorHAnsi"/>
          <w:lang w:eastAsia="ja-JP"/>
        </w:rPr>
        <w:footnoteReference w:id="58"/>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eastAsia="MS Mincho" w:hAnsiTheme="minorHAnsi" w:cstheme="minorHAnsi"/>
          <w:lang w:val="en-US" w:eastAsia="ja-JP"/>
        </w:rPr>
      </w:pPr>
    </w:p>
    <w:p w:rsidR="0027038D" w:rsidRPr="002D7706" w:rsidRDefault="0027038D" w:rsidP="0027038D">
      <w:pPr>
        <w:ind w:firstLine="426"/>
        <w:rPr>
          <w:rFonts w:asciiTheme="minorHAnsi" w:hAnsiTheme="minorHAnsi" w:cstheme="minorHAnsi"/>
          <w:iCs/>
          <w:lang w:val="en-US" w:eastAsia="en-US" w:bidi="he-IL"/>
        </w:rPr>
      </w:pPr>
      <w:r w:rsidRPr="002D7706">
        <w:rPr>
          <w:rFonts w:asciiTheme="minorHAnsi" w:hAnsiTheme="minorHAnsi" w:cstheme="minorHAnsi"/>
          <w:lang w:val="en-US" w:bidi="he-IL"/>
        </w:rPr>
        <w:t>Still other passages in Paul are used in support of theosis. The believer awaits “</w:t>
      </w:r>
      <w:r w:rsidRPr="002D7706">
        <w:rPr>
          <w:rFonts w:asciiTheme="minorHAnsi" w:hAnsiTheme="minorHAnsi" w:cstheme="minorHAnsi"/>
          <w:lang w:val="en-US" w:eastAsia="en-US" w:bidi="he-IL"/>
        </w:rPr>
        <w:t>the riches of the glory of His inheritance in the saints,” (Eph 1:18), which is understood as deification. In 1 Corinthians 6:17</w:t>
      </w:r>
      <w:r>
        <w:rPr>
          <w:rFonts w:asciiTheme="minorHAnsi" w:hAnsiTheme="minorHAnsi" w:cstheme="minorHAnsi"/>
          <w:lang w:val="en-US" w:eastAsia="en-US" w:bidi="he-IL"/>
        </w:rPr>
        <w:t>,</w:t>
      </w:r>
      <w:r w:rsidRPr="002D7706">
        <w:rPr>
          <w:rFonts w:asciiTheme="minorHAnsi" w:hAnsiTheme="minorHAnsi" w:cstheme="minorHAnsi"/>
          <w:lang w:val="en-US" w:eastAsia="en-US" w:bidi="he-IL"/>
        </w:rPr>
        <w:t xml:space="preserve"> Paul writes, “But the one who joins himself to the Lord is one spirit </w:t>
      </w:r>
      <w:r w:rsidRPr="004F4D97">
        <w:rPr>
          <w:rFonts w:asciiTheme="minorHAnsi" w:hAnsiTheme="minorHAnsi" w:cstheme="minorHAnsi"/>
          <w:iCs/>
          <w:lang w:val="en-US" w:eastAsia="en-US" w:bidi="he-IL"/>
        </w:rPr>
        <w:t>{with Him}</w:t>
      </w:r>
      <w:r w:rsidRPr="002D7706">
        <w:rPr>
          <w:rFonts w:asciiTheme="minorHAnsi" w:hAnsiTheme="minorHAnsi" w:cstheme="minorHAnsi"/>
          <w:iCs/>
          <w:lang w:val="en-US" w:eastAsia="en-US" w:bidi="he-IL"/>
        </w:rPr>
        <w:t xml:space="preserve">,” indicating, supposedly, an ontological union with Christ. Most significant is the claim of Peter, that the believers are “partakers of </w:t>
      </w:r>
      <w:r w:rsidRPr="004F4D97">
        <w:rPr>
          <w:rFonts w:asciiTheme="minorHAnsi" w:hAnsiTheme="minorHAnsi" w:cstheme="minorHAnsi"/>
          <w:iCs/>
          <w:lang w:val="en-US" w:eastAsia="en-US" w:bidi="he-IL"/>
        </w:rPr>
        <w:t xml:space="preserve">{the} </w:t>
      </w:r>
      <w:r w:rsidRPr="002D7706">
        <w:rPr>
          <w:rFonts w:asciiTheme="minorHAnsi" w:hAnsiTheme="minorHAnsi" w:cstheme="minorHAnsi"/>
          <w:iCs/>
          <w:lang w:val="en-US" w:eastAsia="en-US" w:bidi="he-IL"/>
        </w:rPr>
        <w:t>divine nature” (1 Pet 1:3).</w:t>
      </w:r>
      <w:r>
        <w:rPr>
          <w:rFonts w:asciiTheme="minorHAnsi" w:hAnsiTheme="minorHAnsi" w:cstheme="minorHAnsi"/>
          <w:iCs/>
          <w:lang w:val="en-US" w:eastAsia="en-US" w:bidi="he-IL"/>
        </w:rPr>
        <w:t xml:space="preserve"> </w:t>
      </w:r>
    </w:p>
    <w:p w:rsidR="0027038D" w:rsidRPr="002D7706" w:rsidRDefault="0027038D" w:rsidP="0027038D">
      <w:pPr>
        <w:ind w:firstLine="426"/>
        <w:rPr>
          <w:rFonts w:asciiTheme="minorHAnsi" w:hAnsiTheme="minorHAnsi" w:cstheme="minorHAnsi"/>
          <w:iCs/>
          <w:lang w:val="en-US" w:eastAsia="en-US" w:bidi="he-IL"/>
        </w:rPr>
      </w:pPr>
      <w:r w:rsidRPr="002D7706">
        <w:rPr>
          <w:rFonts w:asciiTheme="minorHAnsi" w:hAnsiTheme="minorHAnsi" w:cstheme="minorHAnsi"/>
          <w:iCs/>
          <w:lang w:val="en-US" w:eastAsia="en-US" w:bidi="he-IL"/>
        </w:rPr>
        <w:t>Some concluding biblical arguments</w:t>
      </w:r>
      <w:r>
        <w:rPr>
          <w:rFonts w:asciiTheme="minorHAnsi" w:hAnsiTheme="minorHAnsi" w:cstheme="minorHAnsi"/>
          <w:iCs/>
          <w:lang w:val="en-US" w:eastAsia="en-US" w:bidi="he-IL"/>
        </w:rPr>
        <w:t xml:space="preserve"> are as follows</w:t>
      </w:r>
      <w:r w:rsidRPr="002D7706">
        <w:rPr>
          <w:rFonts w:asciiTheme="minorHAnsi" w:hAnsiTheme="minorHAnsi" w:cstheme="minorHAnsi"/>
          <w:iCs/>
          <w:lang w:val="en-US" w:eastAsia="en-US" w:bidi="he-IL"/>
        </w:rPr>
        <w:t>. The New Testament speaks of the adoption of believers into God’s family. As adopted children, the believer can expect to share in the status of the accepting family, that is, inclusion in Deity. Hence, they are gods.</w:t>
      </w:r>
      <w:r>
        <w:rPr>
          <w:rFonts w:asciiTheme="minorHAnsi" w:hAnsiTheme="minorHAnsi" w:cstheme="minorHAnsi"/>
          <w:iCs/>
          <w:lang w:val="en-US" w:eastAsia="en-US" w:bidi="he-IL"/>
        </w:rPr>
        <w:t xml:space="preserve"> </w:t>
      </w:r>
      <w:r w:rsidRPr="002D7706">
        <w:rPr>
          <w:rFonts w:asciiTheme="minorHAnsi" w:hAnsiTheme="minorHAnsi" w:cstheme="minorHAnsi"/>
          <w:iCs/>
          <w:lang w:val="en-US" w:eastAsia="en-US" w:bidi="he-IL"/>
        </w:rPr>
        <w:t xml:space="preserve">Finally, as sacramentalists, Orthodox believe </w:t>
      </w:r>
      <w:r>
        <w:rPr>
          <w:rFonts w:asciiTheme="minorHAnsi" w:hAnsiTheme="minorHAnsi" w:cstheme="minorHAnsi"/>
          <w:iCs/>
          <w:lang w:val="en-US" w:eastAsia="en-US" w:bidi="he-IL"/>
        </w:rPr>
        <w:t xml:space="preserve">in the </w:t>
      </w:r>
      <w:r w:rsidRPr="002D7706">
        <w:rPr>
          <w:rFonts w:asciiTheme="minorHAnsi" w:hAnsiTheme="minorHAnsi" w:cstheme="minorHAnsi"/>
          <w:iCs/>
          <w:lang w:val="en-US" w:eastAsia="en-US" w:bidi="he-IL"/>
        </w:rPr>
        <w:t xml:space="preserve">physical transformation of the elements of the Lord’s Supper into the body and blood of Jesus. If inanimate elements can share in </w:t>
      </w:r>
      <w:r>
        <w:rPr>
          <w:rFonts w:asciiTheme="minorHAnsi" w:hAnsiTheme="minorHAnsi" w:cstheme="minorHAnsi"/>
          <w:iCs/>
          <w:lang w:val="en-US" w:eastAsia="en-US" w:bidi="he-IL"/>
        </w:rPr>
        <w:t>D</w:t>
      </w:r>
      <w:r w:rsidRPr="002D7706">
        <w:rPr>
          <w:rFonts w:asciiTheme="minorHAnsi" w:hAnsiTheme="minorHAnsi" w:cstheme="minorHAnsi"/>
          <w:iCs/>
          <w:lang w:val="en-US" w:eastAsia="en-US" w:bidi="he-IL"/>
        </w:rPr>
        <w:t>eity, why not humankind? Ilarion writes, “As the bread and wine of the Eucharist are presented, that is, are changed and become the Body and Blood of Christ, even so people, being joined to God, are changed and transformed.”</w:t>
      </w:r>
      <w:r w:rsidRPr="00212ED7">
        <w:rPr>
          <w:rStyle w:val="FootnoteReference"/>
          <w:rFonts w:asciiTheme="minorHAnsi" w:hAnsiTheme="minorHAnsi" w:cstheme="minorHAnsi"/>
        </w:rPr>
        <w:footnoteReference w:id="59"/>
      </w:r>
      <w:r w:rsidRPr="002D7706">
        <w:rPr>
          <w:rFonts w:asciiTheme="minorHAnsi" w:hAnsiTheme="minorHAnsi" w:cstheme="minorHAnsi"/>
          <w:iCs/>
          <w:lang w:val="en-US" w:eastAsia="en-US" w:bidi="he-IL"/>
        </w:rPr>
        <w:t xml:space="preserve"> </w:t>
      </w:r>
    </w:p>
    <w:p w:rsidR="0027038D" w:rsidRPr="002D7706" w:rsidRDefault="0027038D" w:rsidP="0027038D">
      <w:pPr>
        <w:rPr>
          <w:rFonts w:asciiTheme="minorHAnsi" w:hAnsiTheme="minorHAnsi" w:cstheme="minorHAnsi"/>
          <w:iCs/>
          <w:lang w:val="en-US" w:bidi="he-IL"/>
        </w:rPr>
      </w:pPr>
    </w:p>
    <w:p w:rsidR="0027038D" w:rsidRPr="002D7706" w:rsidRDefault="0027038D" w:rsidP="0027038D">
      <w:pPr>
        <w:pStyle w:val="Heading3"/>
        <w:rPr>
          <w:rFonts w:cstheme="minorHAnsi"/>
          <w:lang w:val="en-US" w:bidi="he-IL"/>
        </w:rPr>
      </w:pPr>
      <w:r w:rsidRPr="002D7706">
        <w:rPr>
          <w:rFonts w:cstheme="minorHAnsi"/>
          <w:lang w:val="en-US" w:bidi="he-IL"/>
        </w:rPr>
        <w:t>E. Historical Development of Theosis</w:t>
      </w:r>
    </w:p>
    <w:p w:rsidR="0027038D" w:rsidRPr="002D7706" w:rsidRDefault="0027038D" w:rsidP="0027038D">
      <w:pPr>
        <w:rPr>
          <w:rFonts w:asciiTheme="minorHAnsi" w:hAnsiTheme="minorHAnsi" w:cstheme="minorHAnsi"/>
          <w:iCs/>
          <w:lang w:val="en-US" w:bidi="he-IL"/>
        </w:rPr>
      </w:pPr>
    </w:p>
    <w:p w:rsidR="0027038D" w:rsidRPr="002D7706" w:rsidRDefault="0027038D" w:rsidP="0027038D">
      <w:pPr>
        <w:ind w:firstLine="450"/>
        <w:rPr>
          <w:rFonts w:asciiTheme="minorHAnsi" w:hAnsiTheme="minorHAnsi" w:cstheme="minorHAnsi"/>
          <w:iCs/>
          <w:lang w:val="en-US" w:bidi="he-IL"/>
        </w:rPr>
      </w:pPr>
      <w:r w:rsidRPr="002D7706">
        <w:rPr>
          <w:rFonts w:asciiTheme="minorHAnsi" w:hAnsiTheme="minorHAnsi" w:cstheme="minorHAnsi"/>
          <w:iCs/>
          <w:lang w:val="en-US" w:bidi="he-IL"/>
        </w:rPr>
        <w:t>As mention</w:t>
      </w:r>
      <w:r>
        <w:rPr>
          <w:rFonts w:asciiTheme="minorHAnsi" w:hAnsiTheme="minorHAnsi" w:cstheme="minorHAnsi"/>
          <w:iCs/>
          <w:lang w:val="en-US" w:bidi="he-IL"/>
        </w:rPr>
        <w:t>ed above, in the Orthodox faith</w:t>
      </w:r>
      <w:r w:rsidRPr="002D7706">
        <w:rPr>
          <w:rFonts w:asciiTheme="minorHAnsi" w:hAnsiTheme="minorHAnsi" w:cstheme="minorHAnsi"/>
          <w:iCs/>
          <w:lang w:val="en-US" w:bidi="he-IL"/>
        </w:rPr>
        <w:t xml:space="preserve"> Church tradition and the teaching of the Fathers hold great dogmatic weight and may even be the determining factor in defining faith and practice. Church history provides much support for the acceptance of the doctrine of theosis, as we will now see.  </w:t>
      </w:r>
    </w:p>
    <w:p w:rsidR="0027038D" w:rsidRPr="002D7706" w:rsidRDefault="0027038D" w:rsidP="0027038D">
      <w:pPr>
        <w:ind w:firstLine="450"/>
        <w:rPr>
          <w:rFonts w:asciiTheme="minorHAnsi" w:hAnsiTheme="minorHAnsi" w:cstheme="minorHAnsi"/>
          <w:lang w:val="en-US" w:bidi="he-IL"/>
        </w:rPr>
      </w:pPr>
      <w:r>
        <w:rPr>
          <w:rFonts w:asciiTheme="minorHAnsi" w:hAnsiTheme="minorHAnsi" w:cstheme="minorHAnsi"/>
          <w:lang w:val="en-US" w:bidi="he-IL"/>
        </w:rPr>
        <w:t xml:space="preserve">The earliest evidences </w:t>
      </w:r>
      <w:r w:rsidRPr="002D7706">
        <w:rPr>
          <w:rFonts w:asciiTheme="minorHAnsi" w:hAnsiTheme="minorHAnsi" w:cstheme="minorHAnsi"/>
          <w:lang w:val="en-US" w:bidi="he-IL"/>
        </w:rPr>
        <w:t>f</w:t>
      </w:r>
      <w:r>
        <w:rPr>
          <w:rFonts w:asciiTheme="minorHAnsi" w:hAnsiTheme="minorHAnsi" w:cstheme="minorHAnsi"/>
          <w:lang w:val="en-US" w:bidi="he-IL"/>
        </w:rPr>
        <w:t>or</w:t>
      </w:r>
      <w:r w:rsidRPr="002D7706">
        <w:rPr>
          <w:rFonts w:asciiTheme="minorHAnsi" w:hAnsiTheme="minorHAnsi" w:cstheme="minorHAnsi"/>
          <w:lang w:val="en-US" w:bidi="he-IL"/>
        </w:rPr>
        <w:t xml:space="preserve"> the doctrine of theosis, yet still in its primitive form, are found in the second-century Fathers, the prime example being Irenaeus. In the second century, however, the Fathers understood theosis primarily in terms of immortality. That is, the characteristic of God that was most coveted was victory over death, which, as Franks notes, the Greeks considered the main enemy of humankind.</w:t>
      </w:r>
      <w:r w:rsidRPr="00212ED7">
        <w:rPr>
          <w:rStyle w:val="FootnoteReference"/>
          <w:rFonts w:asciiTheme="minorHAnsi" w:hAnsiTheme="minorHAnsi" w:cstheme="minorHAnsi"/>
          <w:lang w:bidi="he-IL"/>
        </w:rPr>
        <w:footnoteReference w:id="60"/>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 xml:space="preserve">The following excerpts from the second-century Fathers make clear this emphasis on immortality. </w:t>
      </w:r>
    </w:p>
    <w:p w:rsidR="0027038D" w:rsidRPr="002D7706" w:rsidRDefault="0027038D" w:rsidP="0027038D">
      <w:pPr>
        <w:ind w:left="426"/>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szCs w:val="28"/>
          <w:lang w:val="en-US" w:eastAsia="en-US" w:bidi="he-IL"/>
        </w:rPr>
      </w:pPr>
      <w:r w:rsidRPr="002D7706">
        <w:rPr>
          <w:rFonts w:asciiTheme="minorHAnsi" w:hAnsiTheme="minorHAnsi" w:cstheme="minorHAnsi"/>
          <w:szCs w:val="28"/>
          <w:lang w:val="en-US" w:eastAsia="en-US" w:bidi="he-IL"/>
        </w:rPr>
        <w:t xml:space="preserve">…the Holy Ghost reproaches men because they were made like God, free from suffering and death, provided that they kept His commandments, and were deemed deserving of the name of His sons, and yet they, becoming like Adam and Eve, work out death for themselves; let the interpretation of the Psalm be held just as you wish, yet thereby it is demonstrated that all men are deemed worthy of becoming “gods,” and of having power to become sons of the Highest (Justin Martyr, </w:t>
      </w:r>
      <w:r w:rsidRPr="002D7706">
        <w:rPr>
          <w:rFonts w:asciiTheme="minorHAnsi" w:hAnsiTheme="minorHAnsi" w:cstheme="minorHAnsi"/>
          <w:i/>
          <w:iCs/>
          <w:lang w:val="en-US"/>
        </w:rPr>
        <w:t>Dialogue with Trypho</w:t>
      </w:r>
      <w:r w:rsidRPr="002D7706">
        <w:rPr>
          <w:rFonts w:asciiTheme="minorHAnsi" w:hAnsiTheme="minorHAnsi" w:cstheme="minorHAnsi"/>
          <w:lang w:val="en-US"/>
        </w:rPr>
        <w:t xml:space="preserve">, 124). </w:t>
      </w:r>
    </w:p>
    <w:p w:rsidR="0027038D" w:rsidRPr="002D7706" w:rsidRDefault="0027038D" w:rsidP="0027038D">
      <w:pPr>
        <w:ind w:left="720"/>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lang w:val="en-US" w:bidi="he-IL"/>
        </w:rPr>
      </w:pPr>
      <w:r w:rsidRPr="002D7706">
        <w:rPr>
          <w:rFonts w:asciiTheme="minorHAnsi" w:hAnsiTheme="minorHAnsi" w:cstheme="minorHAnsi"/>
          <w:lang w:val="en-US" w:bidi="he-IL"/>
        </w:rPr>
        <w:t>“…</w:t>
      </w:r>
      <w:r w:rsidRPr="002D7706">
        <w:rPr>
          <w:rFonts w:asciiTheme="minorHAnsi" w:hAnsiTheme="minorHAnsi" w:cstheme="minorHAnsi"/>
          <w:szCs w:val="28"/>
          <w:lang w:val="en-US" w:eastAsia="en-US" w:bidi="he-IL"/>
        </w:rPr>
        <w:t>so that if he should incline to the things of immortality, keeping the commandment of God, he should receive as reward from Him immortality, and should become God</w:t>
      </w:r>
      <w:r w:rsidRPr="002D7706">
        <w:rPr>
          <w:rFonts w:asciiTheme="minorHAnsi" w:hAnsiTheme="minorHAnsi" w:cstheme="minorHAnsi"/>
          <w:lang w:val="en-US" w:bidi="he-IL"/>
        </w:rPr>
        <w:t xml:space="preserve">” (Theophilus of Antioch, </w:t>
      </w:r>
      <w:r w:rsidRPr="002D7706">
        <w:rPr>
          <w:rFonts w:asciiTheme="minorHAnsi" w:hAnsiTheme="minorHAnsi" w:cstheme="minorHAnsi"/>
          <w:i/>
          <w:iCs/>
          <w:lang w:val="en-US" w:bidi="he-IL"/>
        </w:rPr>
        <w:t>To Autolycus</w:t>
      </w:r>
      <w:r w:rsidRPr="002D7706">
        <w:rPr>
          <w:rFonts w:asciiTheme="minorHAnsi" w:hAnsiTheme="minorHAnsi" w:cstheme="minorHAnsi"/>
          <w:lang w:val="en-US" w:bidi="he-IL"/>
        </w:rPr>
        <w:t>, 2.27)</w:t>
      </w:r>
    </w:p>
    <w:p w:rsidR="0027038D" w:rsidRPr="002D7706" w:rsidRDefault="0027038D" w:rsidP="0027038D">
      <w:pPr>
        <w:ind w:firstLine="426"/>
        <w:rPr>
          <w:rFonts w:asciiTheme="minorHAnsi" w:hAnsiTheme="minorHAnsi" w:cstheme="minorHAnsi"/>
          <w:lang w:val="en-US" w:bidi="he-IL"/>
        </w:rPr>
      </w:pPr>
    </w:p>
    <w:p w:rsidR="0027038D" w:rsidRPr="002D7706" w:rsidRDefault="0027038D" w:rsidP="0027038D">
      <w:pPr>
        <w:autoSpaceDE w:val="0"/>
        <w:autoSpaceDN w:val="0"/>
        <w:adjustRightInd w:val="0"/>
        <w:ind w:left="720"/>
        <w:rPr>
          <w:rFonts w:asciiTheme="minorHAnsi" w:hAnsiTheme="minorHAnsi" w:cstheme="minorHAnsi"/>
          <w:lang w:val="en-US" w:eastAsia="en-US" w:bidi="he-IL"/>
        </w:rPr>
      </w:pPr>
      <w:r w:rsidRPr="002D7706">
        <w:rPr>
          <w:rFonts w:asciiTheme="minorHAnsi" w:hAnsiTheme="minorHAnsi" w:cstheme="minorHAnsi"/>
          <w:lang w:val="en-US" w:eastAsia="en-US" w:bidi="he-IL"/>
        </w:rPr>
        <w:t xml:space="preserve">For we cast blame upon Him, because we have not been made gods from the beginning, but at first merely men, then at length gods… For it was necessary, at first, that nature should be exhibited; then, after that, that what was mortal should be conquered and swallowed up by immortality, and the corruptible by incorruptibility...” (Irenaeus, </w:t>
      </w:r>
      <w:r w:rsidRPr="002D7706">
        <w:rPr>
          <w:rFonts w:asciiTheme="minorHAnsi" w:hAnsiTheme="minorHAnsi" w:cstheme="minorHAnsi"/>
          <w:i/>
          <w:iCs/>
          <w:lang w:val="en-US" w:eastAsia="en-US" w:bidi="he-IL"/>
        </w:rPr>
        <w:t>Against Heresies</w:t>
      </w:r>
      <w:r w:rsidRPr="002D7706">
        <w:rPr>
          <w:rFonts w:asciiTheme="minorHAnsi" w:hAnsiTheme="minorHAnsi" w:cstheme="minorHAnsi"/>
          <w:lang w:val="en-US" w:eastAsia="en-US" w:bidi="he-IL"/>
        </w:rPr>
        <w:t>, 4.38.4)</w:t>
      </w:r>
    </w:p>
    <w:p w:rsidR="0027038D" w:rsidRPr="002D7706" w:rsidRDefault="0027038D" w:rsidP="0027038D">
      <w:pPr>
        <w:ind w:firstLine="426"/>
        <w:rPr>
          <w:rFonts w:asciiTheme="minorHAnsi" w:hAnsiTheme="minorHAnsi" w:cstheme="minorHAnsi"/>
          <w:lang w:val="en-US" w:bidi="he-IL"/>
        </w:rPr>
      </w:pPr>
    </w:p>
    <w:p w:rsidR="0027038D" w:rsidRPr="002D7706" w:rsidRDefault="0027038D" w:rsidP="0027038D">
      <w:pPr>
        <w:ind w:firstLine="450"/>
        <w:rPr>
          <w:rFonts w:asciiTheme="minorHAnsi" w:hAnsiTheme="minorHAnsi" w:cstheme="minorHAnsi"/>
          <w:lang w:val="en-US" w:eastAsia="en-US" w:bidi="he-IL"/>
        </w:rPr>
      </w:pPr>
      <w:r w:rsidRPr="002D7706">
        <w:rPr>
          <w:rFonts w:asciiTheme="minorHAnsi" w:hAnsiTheme="minorHAnsi" w:cstheme="minorHAnsi"/>
          <w:lang w:val="en-US" w:bidi="he-IL"/>
        </w:rPr>
        <w:t>As mentioned above, Irenaeus preceded Athanasius in ascribing theosis to th</w:t>
      </w:r>
      <w:r>
        <w:rPr>
          <w:rFonts w:asciiTheme="minorHAnsi" w:hAnsiTheme="minorHAnsi" w:cstheme="minorHAnsi"/>
          <w:lang w:val="en-US" w:bidi="he-IL"/>
        </w:rPr>
        <w:t xml:space="preserve">e Incarnation. </w:t>
      </w:r>
      <w:r w:rsidRPr="002D7706">
        <w:rPr>
          <w:rFonts w:asciiTheme="minorHAnsi" w:hAnsiTheme="minorHAnsi" w:cstheme="minorHAnsi"/>
          <w:lang w:val="en-US" w:bidi="he-IL"/>
        </w:rPr>
        <w:t>Yet his version of Athanasius’ classic formula speaks only of becoming sons of God, “</w:t>
      </w:r>
      <w:r w:rsidRPr="002D7706">
        <w:rPr>
          <w:rFonts w:asciiTheme="minorHAnsi" w:hAnsiTheme="minorHAnsi" w:cstheme="minorHAnsi"/>
          <w:szCs w:val="28"/>
          <w:lang w:val="en-US" w:eastAsia="en-US" w:bidi="he-IL"/>
        </w:rPr>
        <w:t>For it was for this end that the Word of God was made man, and He who was the Son of God became the Son of man, that man, having been taken into the Word, and receiving the adoption, might become the son of God</w:t>
      </w:r>
      <w:r w:rsidRPr="002D7706">
        <w:rPr>
          <w:rFonts w:asciiTheme="minorHAnsi" w:hAnsiTheme="minorHAnsi" w:cstheme="minorHAnsi"/>
          <w:lang w:val="en-US" w:bidi="he-IL"/>
        </w:rPr>
        <w:t xml:space="preserve">” </w:t>
      </w:r>
      <w:r w:rsidRPr="002D7706">
        <w:rPr>
          <w:rFonts w:asciiTheme="minorHAnsi" w:hAnsiTheme="minorHAnsi" w:cstheme="minorHAnsi"/>
          <w:lang w:val="en-US" w:eastAsia="en-US" w:bidi="he-IL"/>
        </w:rPr>
        <w:t>(</w:t>
      </w:r>
      <w:r w:rsidRPr="002D7706">
        <w:rPr>
          <w:rFonts w:asciiTheme="minorHAnsi" w:hAnsiTheme="minorHAnsi" w:cstheme="minorHAnsi"/>
          <w:i/>
          <w:iCs/>
          <w:lang w:val="en-US" w:eastAsia="en-US" w:bidi="he-IL"/>
        </w:rPr>
        <w:t>Against Heresies</w:t>
      </w:r>
      <w:r w:rsidRPr="002D7706">
        <w:rPr>
          <w:rFonts w:asciiTheme="minorHAnsi" w:hAnsiTheme="minorHAnsi" w:cstheme="minorHAnsi"/>
          <w:lang w:val="en-US" w:eastAsia="en-US" w:bidi="he-IL"/>
        </w:rPr>
        <w:t>, 3.19.1).</w:t>
      </w:r>
    </w:p>
    <w:p w:rsidR="0027038D" w:rsidRPr="002D7706" w:rsidRDefault="0027038D" w:rsidP="0027038D">
      <w:pPr>
        <w:ind w:firstLine="450"/>
        <w:rPr>
          <w:rFonts w:asciiTheme="minorHAnsi" w:hAnsiTheme="minorHAnsi" w:cstheme="minorHAnsi"/>
          <w:lang w:val="en-US" w:eastAsia="en-US" w:bidi="he-IL"/>
        </w:rPr>
      </w:pPr>
      <w:r w:rsidRPr="002D7706">
        <w:rPr>
          <w:rFonts w:asciiTheme="minorHAnsi" w:hAnsiTheme="minorHAnsi" w:cstheme="minorHAnsi"/>
          <w:lang w:val="en-US" w:eastAsia="en-US" w:bidi="he-IL"/>
        </w:rPr>
        <w:t>Clement of Alexandria’s version reads thus, “Yea, I say, the Word of God became man, that thou mayest learn from man how man may become God” (</w:t>
      </w:r>
      <w:r w:rsidRPr="002D7706">
        <w:rPr>
          <w:rFonts w:asciiTheme="minorHAnsi" w:hAnsiTheme="minorHAnsi" w:cstheme="minorHAnsi"/>
          <w:i/>
          <w:iCs/>
          <w:lang w:val="en-US" w:eastAsia="en-US" w:bidi="he-IL"/>
        </w:rPr>
        <w:t>Exhortation to the Heathen</w:t>
      </w:r>
      <w:r w:rsidRPr="002D7706">
        <w:rPr>
          <w:rFonts w:asciiTheme="minorHAnsi" w:hAnsiTheme="minorHAnsi" w:cstheme="minorHAnsi"/>
          <w:lang w:val="en-US" w:eastAsia="en-US" w:bidi="he-IL"/>
        </w:rPr>
        <w:t>, 1</w:t>
      </w:r>
      <w:r>
        <w:rPr>
          <w:rFonts w:asciiTheme="minorHAnsi" w:hAnsiTheme="minorHAnsi" w:cstheme="minorHAnsi"/>
          <w:lang w:val="en-US" w:eastAsia="en-US" w:bidi="he-IL"/>
        </w:rPr>
        <w:t xml:space="preserve">.1). </w:t>
      </w:r>
      <w:r w:rsidRPr="002D7706">
        <w:rPr>
          <w:rFonts w:asciiTheme="minorHAnsi" w:hAnsiTheme="minorHAnsi" w:cstheme="minorHAnsi"/>
          <w:lang w:val="en-US" w:eastAsia="en-US" w:bidi="he-IL"/>
        </w:rPr>
        <w:t>Unlike the earlier second-century writers, however, Clement does not emphasize the aspect of immortally in theosis, but rather emphasizes the attainment of virtue.</w:t>
      </w:r>
      <w:r w:rsidRPr="00212ED7">
        <w:rPr>
          <w:rStyle w:val="FootnoteReference"/>
          <w:rFonts w:asciiTheme="minorHAnsi" w:hAnsiTheme="minorHAnsi" w:cstheme="minorHAnsi"/>
          <w:lang w:val="en-US" w:eastAsia="en-US" w:bidi="he-IL"/>
        </w:rPr>
        <w:footnoteReference w:id="61"/>
      </w:r>
      <w:r w:rsidRPr="002D7706">
        <w:rPr>
          <w:rFonts w:asciiTheme="minorHAnsi" w:hAnsiTheme="minorHAnsi" w:cstheme="minorHAnsi"/>
          <w:lang w:val="en-US" w:eastAsia="en-US" w:bidi="he-IL"/>
        </w:rPr>
        <w:t xml:space="preserve">   </w:t>
      </w:r>
    </w:p>
    <w:p w:rsidR="0027038D" w:rsidRPr="002D7706" w:rsidRDefault="0027038D" w:rsidP="0027038D">
      <w:pPr>
        <w:ind w:firstLine="450"/>
        <w:rPr>
          <w:rFonts w:asciiTheme="minorHAnsi" w:hAnsiTheme="minorHAnsi" w:cstheme="minorHAnsi"/>
          <w:lang w:val="en-US" w:eastAsia="en-US" w:bidi="he-IL"/>
        </w:rPr>
      </w:pPr>
      <w:r w:rsidRPr="002D7706">
        <w:rPr>
          <w:rFonts w:asciiTheme="minorHAnsi" w:hAnsiTheme="minorHAnsi" w:cstheme="minorHAnsi"/>
          <w:lang w:val="en-US" w:eastAsia="en-US" w:bidi="he-IL"/>
        </w:rPr>
        <w:t xml:space="preserve">Clement’s student </w:t>
      </w:r>
      <w:r>
        <w:rPr>
          <w:rFonts w:asciiTheme="minorHAnsi" w:hAnsiTheme="minorHAnsi" w:cstheme="minorHAnsi"/>
          <w:lang w:val="en-US" w:eastAsia="en-US" w:bidi="he-IL"/>
        </w:rPr>
        <w:t>and successor, Origen, continued</w:t>
      </w:r>
      <w:r w:rsidRPr="002D7706">
        <w:rPr>
          <w:rFonts w:asciiTheme="minorHAnsi" w:hAnsiTheme="minorHAnsi" w:cstheme="minorHAnsi"/>
          <w:lang w:val="en-US" w:eastAsia="en-US" w:bidi="he-IL"/>
        </w:rPr>
        <w:t xml:space="preserve"> the tradition of theosis and in</w:t>
      </w:r>
      <w:r>
        <w:rPr>
          <w:rFonts w:asciiTheme="minorHAnsi" w:hAnsiTheme="minorHAnsi" w:cstheme="minorHAnsi"/>
          <w:lang w:val="en-US" w:eastAsia="en-US" w:bidi="he-IL"/>
        </w:rPr>
        <w:t>tensified</w:t>
      </w:r>
      <w:r w:rsidRPr="002D7706">
        <w:rPr>
          <w:rFonts w:asciiTheme="minorHAnsi" w:hAnsiTheme="minorHAnsi" w:cstheme="minorHAnsi"/>
          <w:lang w:val="en-US" w:eastAsia="en-US" w:bidi="he-IL"/>
        </w:rPr>
        <w:t xml:space="preserve"> it. Zaitsev feels that “beginning with Origen, the idea of </w:t>
      </w:r>
      <w:r w:rsidRPr="002D7706">
        <w:rPr>
          <w:rFonts w:asciiTheme="minorHAnsi" w:hAnsiTheme="minorHAnsi" w:cstheme="minorHAnsi"/>
          <w:i/>
          <w:iCs/>
          <w:lang w:val="en-US" w:eastAsia="en-US" w:bidi="he-IL"/>
        </w:rPr>
        <w:t>theosis</w:t>
      </w:r>
      <w:r w:rsidRPr="002D7706">
        <w:rPr>
          <w:rFonts w:asciiTheme="minorHAnsi" w:hAnsiTheme="minorHAnsi" w:cstheme="minorHAnsi"/>
          <w:lang w:val="en-US" w:eastAsia="en-US" w:bidi="he-IL"/>
        </w:rPr>
        <w:t xml:space="preserve"> becomes established as a fully developed category of Christian theology.”</w:t>
      </w:r>
      <w:r w:rsidRPr="00212ED7">
        <w:rPr>
          <w:rStyle w:val="FootnoteReference"/>
          <w:rFonts w:asciiTheme="minorHAnsi" w:hAnsiTheme="minorHAnsi" w:cstheme="minorHAnsi"/>
          <w:lang w:bidi="he-IL"/>
        </w:rPr>
        <w:footnoteReference w:id="62"/>
      </w:r>
      <w:r w:rsidRPr="002D7706">
        <w:rPr>
          <w:rFonts w:asciiTheme="minorHAnsi" w:hAnsiTheme="minorHAnsi" w:cstheme="minorHAnsi"/>
          <w:lang w:val="en-US" w:eastAsia="en-US" w:bidi="he-IL"/>
        </w:rPr>
        <w:t xml:space="preserve"> Origen, again, expresses theosis in terms of the incarnation:</w:t>
      </w:r>
    </w:p>
    <w:p w:rsidR="0027038D" w:rsidRPr="002D7706" w:rsidRDefault="0027038D" w:rsidP="0027038D">
      <w:pPr>
        <w:ind w:firstLine="360"/>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lang w:val="en-US" w:bidi="he-IL"/>
        </w:rPr>
      </w:pPr>
      <w:r w:rsidRPr="002D7706">
        <w:rPr>
          <w:rFonts w:asciiTheme="minorHAnsi" w:hAnsiTheme="minorHAnsi" w:cstheme="minorHAnsi"/>
          <w:lang w:val="en-US" w:eastAsia="en-US" w:bidi="he-IL"/>
        </w:rPr>
        <w:t>…when they see that from Him there began the union of the divine with the human nature, in order that the human, by communion with the divine, might rise to be divine, not in Jesus alone, but in all those who not only believe, but enter upon the life which Jesus taught</w:t>
      </w:r>
      <w:r w:rsidRPr="002D7706">
        <w:rPr>
          <w:rFonts w:asciiTheme="minorHAnsi" w:hAnsiTheme="minorHAnsi" w:cstheme="minorHAnsi"/>
          <w:vertAlign w:val="superscript"/>
          <w:lang w:val="en-US" w:eastAsia="en-US" w:bidi="he-IL"/>
        </w:rPr>
        <w:t xml:space="preserve"> </w:t>
      </w:r>
      <w:r w:rsidRPr="002D7706">
        <w:rPr>
          <w:rFonts w:asciiTheme="minorHAnsi" w:hAnsiTheme="minorHAnsi" w:cstheme="minorHAnsi"/>
          <w:lang w:val="en-US" w:bidi="he-IL"/>
        </w:rPr>
        <w:t>(</w:t>
      </w:r>
      <w:r w:rsidRPr="002D7706">
        <w:rPr>
          <w:rFonts w:asciiTheme="minorHAnsi" w:hAnsiTheme="minorHAnsi" w:cstheme="minorHAnsi"/>
          <w:i/>
          <w:iCs/>
          <w:lang w:val="en-US" w:bidi="he-IL"/>
        </w:rPr>
        <w:t>Against Celsus</w:t>
      </w:r>
      <w:r w:rsidRPr="002D7706">
        <w:rPr>
          <w:rFonts w:asciiTheme="minorHAnsi" w:hAnsiTheme="minorHAnsi" w:cstheme="minorHAnsi"/>
          <w:lang w:val="en-US" w:bidi="he-IL"/>
        </w:rPr>
        <w:t>, 3.28).</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We have already mentioned the fundamental contribution of Athanasius to the doctrine of theosis. Gross considers theosis “the central thoug</w:t>
      </w:r>
      <w:bookmarkStart w:id="0" w:name="_GoBack"/>
      <w:bookmarkEnd w:id="0"/>
      <w:r w:rsidRPr="002D7706">
        <w:rPr>
          <w:rFonts w:asciiTheme="minorHAnsi" w:hAnsiTheme="minorHAnsi" w:cstheme="minorHAnsi"/>
          <w:lang w:val="en-US" w:bidi="he-IL"/>
        </w:rPr>
        <w:t>ht of his theology.”</w:t>
      </w:r>
      <w:r w:rsidRPr="00212ED7">
        <w:rPr>
          <w:rStyle w:val="FootnoteReference"/>
          <w:rFonts w:asciiTheme="minorHAnsi" w:hAnsiTheme="minorHAnsi" w:cstheme="minorHAnsi"/>
          <w:lang w:bidi="he-IL"/>
        </w:rPr>
        <w:footnoteReference w:id="63"/>
      </w:r>
      <w:r w:rsidRPr="002D7706">
        <w:rPr>
          <w:rFonts w:asciiTheme="minorHAnsi" w:hAnsiTheme="minorHAnsi" w:cstheme="minorHAnsi"/>
          <w:lang w:val="en-US" w:bidi="he-IL"/>
        </w:rPr>
        <w:t xml:space="preserve"> In his exposition of the teaching, </w:t>
      </w:r>
      <w:r w:rsidRPr="002D7706">
        <w:rPr>
          <w:rFonts w:asciiTheme="minorHAnsi" w:eastAsia="MS Mincho" w:hAnsiTheme="minorHAnsi" w:cstheme="minorHAnsi"/>
          <w:lang w:val="en-US" w:eastAsia="ja-JP"/>
        </w:rPr>
        <w:t>Athanasius</w:t>
      </w:r>
      <w:r w:rsidRPr="002D7706">
        <w:rPr>
          <w:rFonts w:asciiTheme="minorHAnsi" w:hAnsiTheme="minorHAnsi" w:cstheme="minorHAnsi"/>
          <w:lang w:val="en-US" w:bidi="he-IL"/>
        </w:rPr>
        <w:t xml:space="preserve"> gave pride of place to the role of the Son’s incarnation in the process, “</w:t>
      </w:r>
      <w:r w:rsidRPr="002D7706">
        <w:rPr>
          <w:rFonts w:asciiTheme="minorHAnsi" w:eastAsia="MS Mincho" w:hAnsiTheme="minorHAnsi" w:cstheme="minorHAnsi"/>
          <w:lang w:val="en-US" w:eastAsia="ja-JP"/>
        </w:rPr>
        <w:t>For Athanasius and for all the Fathers in the period of the Ecumenical Councils, the only basis for the deification of humans was the incarnation of the Word of God.”</w:t>
      </w:r>
      <w:r w:rsidRPr="00212ED7">
        <w:rPr>
          <w:rStyle w:val="FootnoteReference"/>
          <w:rFonts w:asciiTheme="minorHAnsi" w:eastAsia="MS Mincho" w:hAnsiTheme="minorHAnsi" w:cstheme="minorHAnsi"/>
          <w:lang w:val="en-US" w:eastAsia="ja-JP"/>
        </w:rPr>
        <w:footnoteReference w:id="64"/>
      </w:r>
      <w:r w:rsidRPr="002D7706">
        <w:rPr>
          <w:rFonts w:asciiTheme="minorHAnsi" w:eastAsia="MS Mincho" w:hAnsiTheme="minorHAnsi" w:cstheme="minorHAnsi"/>
          <w:lang w:val="en-US" w:eastAsia="ja-JP"/>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The champions of the Second Ecumenical Council, the Cappadocian Fathers (Basil the Great, Gregory of Nazianzus</w:t>
      </w:r>
      <w:r>
        <w:rPr>
          <w:rFonts w:asciiTheme="minorHAnsi" w:hAnsiTheme="minorHAnsi" w:cstheme="minorHAnsi"/>
          <w:lang w:val="en-US" w:bidi="he-IL"/>
        </w:rPr>
        <w:t>,</w:t>
      </w:r>
      <w:r w:rsidRPr="002D7706">
        <w:rPr>
          <w:rFonts w:asciiTheme="minorHAnsi" w:hAnsiTheme="minorHAnsi" w:cstheme="minorHAnsi"/>
          <w:lang w:val="en-US" w:bidi="he-IL"/>
        </w:rPr>
        <w:t xml:space="preserve"> and Gregory of Nyssa), also championed theosis. Basil, however, was more guarded in his expression of it, “…</w:t>
      </w:r>
      <w:r w:rsidRPr="002D7706">
        <w:rPr>
          <w:rFonts w:asciiTheme="minorHAnsi" w:hAnsiTheme="minorHAnsi" w:cstheme="minorHAnsi"/>
          <w:lang w:val="en-US" w:eastAsia="en-US" w:bidi="he-IL"/>
        </w:rPr>
        <w:t>for what is set before us is, so far as is possible with human nature, to be made like unto God” (</w:t>
      </w:r>
      <w:r w:rsidRPr="002D7706">
        <w:rPr>
          <w:rFonts w:asciiTheme="minorHAnsi" w:hAnsiTheme="minorHAnsi" w:cstheme="minorHAnsi"/>
          <w:i/>
          <w:iCs/>
          <w:lang w:val="en-US" w:eastAsia="en-US" w:bidi="he-IL"/>
        </w:rPr>
        <w:t>On the Holy Spirit</w:t>
      </w:r>
      <w:r w:rsidRPr="002D7706">
        <w:rPr>
          <w:rFonts w:asciiTheme="minorHAnsi" w:hAnsiTheme="minorHAnsi" w:cstheme="minorHAnsi"/>
          <w:lang w:val="en-US" w:eastAsia="en-US" w:bidi="he-IL"/>
        </w:rPr>
        <w:t>, 1.2). Basil is particularly remembered for his comparison of theosis to lowering iron into a flame. Just as the iron takes on properties of the flame, in theosis the human nature takes on properties of the divine.</w:t>
      </w:r>
      <w:r w:rsidRPr="00212ED7">
        <w:rPr>
          <w:rStyle w:val="FootnoteReference"/>
          <w:rFonts w:asciiTheme="minorHAnsi" w:hAnsiTheme="minorHAnsi" w:cstheme="minorHAnsi"/>
          <w:lang w:bidi="he-IL"/>
        </w:rPr>
        <w:footnoteReference w:id="65"/>
      </w:r>
      <w:r w:rsidRPr="002D7706">
        <w:rPr>
          <w:rFonts w:asciiTheme="minorHAnsi" w:hAnsiTheme="minorHAnsi" w:cstheme="minorHAnsi"/>
          <w:lang w:val="en-US" w:eastAsia="en-US" w:bidi="he-IL"/>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bidi="he-IL"/>
        </w:rPr>
        <w:t>Gregory of Nazianzus ex</w:t>
      </w:r>
      <w:r>
        <w:rPr>
          <w:rFonts w:asciiTheme="minorHAnsi" w:hAnsiTheme="minorHAnsi" w:cstheme="minorHAnsi"/>
          <w:lang w:val="en-US" w:bidi="he-IL"/>
        </w:rPr>
        <w:t xml:space="preserve">pressed </w:t>
      </w:r>
      <w:r w:rsidRPr="002D7706">
        <w:rPr>
          <w:rFonts w:asciiTheme="minorHAnsi" w:hAnsiTheme="minorHAnsi" w:cstheme="minorHAnsi"/>
          <w:lang w:val="en-US" w:bidi="he-IL"/>
        </w:rPr>
        <w:t>the doctrine more forcibly, “</w:t>
      </w:r>
      <w:r w:rsidRPr="002D7706">
        <w:rPr>
          <w:rFonts w:asciiTheme="minorHAnsi" w:hAnsiTheme="minorHAnsi" w:cstheme="minorHAnsi"/>
          <w:lang w:val="en-US" w:eastAsia="en-US" w:bidi="he-IL"/>
        </w:rPr>
        <w:t>While His inferior Nature, the Humanity, became God, because it was united to God, and became One Person because the Higher Nature prevailed… in order that I too might be made Goal (correction to ANF - “God”) so far as He is made Man” (</w:t>
      </w:r>
      <w:r w:rsidRPr="002D7706">
        <w:rPr>
          <w:rFonts w:asciiTheme="minorHAnsi" w:hAnsiTheme="minorHAnsi" w:cstheme="minorHAnsi"/>
          <w:i/>
          <w:iCs/>
          <w:lang w:val="en-US" w:eastAsia="en-US" w:bidi="he-IL"/>
        </w:rPr>
        <w:t>Orations</w:t>
      </w:r>
      <w:r w:rsidRPr="002D7706">
        <w:rPr>
          <w:rFonts w:asciiTheme="minorHAnsi" w:hAnsiTheme="minorHAnsi" w:cstheme="minorHAnsi"/>
          <w:lang w:val="en-US" w:eastAsia="en-US" w:bidi="he-IL"/>
        </w:rPr>
        <w:t xml:space="preserve">, 29.19). </w:t>
      </w:r>
      <w:r w:rsidRPr="002D7706">
        <w:rPr>
          <w:rFonts w:asciiTheme="minorHAnsi" w:hAnsiTheme="minorHAnsi" w:cstheme="minorHAnsi"/>
          <w:lang w:val="en-US" w:bidi="he-IL"/>
        </w:rPr>
        <w:t>Ilarion notes here a distinctive feature of Gregory’s understanding of theosis: “A person becomes god ‘to the same degree that’ God became man.”</w:t>
      </w:r>
      <w:r w:rsidRPr="00212ED7">
        <w:rPr>
          <w:rStyle w:val="FootnoteReference"/>
          <w:rFonts w:asciiTheme="minorHAnsi" w:hAnsiTheme="minorHAnsi" w:cstheme="minorHAnsi"/>
          <w:lang w:val="en-US" w:bidi="he-IL"/>
        </w:rPr>
        <w:footnoteReference w:id="66"/>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bidi="he-IL"/>
        </w:rPr>
        <w:t>The final Cappadocian Fath</w:t>
      </w:r>
      <w:r>
        <w:rPr>
          <w:rFonts w:asciiTheme="minorHAnsi" w:hAnsiTheme="minorHAnsi" w:cstheme="minorHAnsi"/>
          <w:lang w:val="en-US" w:bidi="he-IL"/>
        </w:rPr>
        <w:t>er, Gregory of Nyssa, introduced</w:t>
      </w:r>
      <w:r w:rsidRPr="002D7706">
        <w:rPr>
          <w:rFonts w:asciiTheme="minorHAnsi" w:hAnsiTheme="minorHAnsi" w:cstheme="minorHAnsi"/>
          <w:lang w:val="en-US" w:bidi="he-IL"/>
        </w:rPr>
        <w:t xml:space="preserve"> the concept of </w:t>
      </w:r>
      <w:r w:rsidRPr="002D7706">
        <w:rPr>
          <w:rFonts w:asciiTheme="minorHAnsi" w:hAnsiTheme="minorHAnsi" w:cstheme="minorHAnsi"/>
          <w:i/>
          <w:iCs/>
          <w:lang w:val="en-US"/>
        </w:rPr>
        <w:t>perichoresis</w:t>
      </w:r>
      <w:r w:rsidRPr="002D7706">
        <w:rPr>
          <w:rFonts w:asciiTheme="minorHAnsi" w:hAnsiTheme="minorHAnsi" w:cstheme="minorHAnsi"/>
          <w:lang w:val="en-US"/>
        </w:rPr>
        <w:t>, “</w:t>
      </w:r>
      <w:r w:rsidRPr="002D7706">
        <w:rPr>
          <w:rFonts w:asciiTheme="minorHAnsi" w:hAnsiTheme="minorHAnsi" w:cstheme="minorHAnsi"/>
          <w:lang w:val="en-US" w:eastAsia="en-US" w:bidi="he-IL"/>
        </w:rPr>
        <w:t xml:space="preserve">…only now He Who holds together Nature in existence is transfused in </w:t>
      </w:r>
      <w:r w:rsidRPr="002D7706">
        <w:rPr>
          <w:rFonts w:asciiTheme="minorHAnsi" w:hAnsiTheme="minorHAnsi" w:cstheme="minorHAnsi"/>
          <w:i/>
          <w:lang w:val="en-US" w:eastAsia="en-US" w:bidi="he-IL"/>
        </w:rPr>
        <w:t>us;</w:t>
      </w:r>
      <w:r w:rsidRPr="002D7706">
        <w:rPr>
          <w:rFonts w:asciiTheme="minorHAnsi" w:hAnsiTheme="minorHAnsi" w:cstheme="minorHAnsi"/>
          <w:lang w:val="en-US" w:eastAsia="en-US" w:bidi="he-IL"/>
        </w:rPr>
        <w:t xml:space="preserve"> while at that other time He was transfused throughout </w:t>
      </w:r>
      <w:r w:rsidRPr="002D7706">
        <w:rPr>
          <w:rFonts w:asciiTheme="minorHAnsi" w:hAnsiTheme="minorHAnsi" w:cstheme="minorHAnsi"/>
          <w:i/>
          <w:lang w:val="en-US" w:eastAsia="en-US" w:bidi="he-IL"/>
        </w:rPr>
        <w:t>our nature</w:t>
      </w:r>
      <w:r w:rsidRPr="002D7706">
        <w:rPr>
          <w:rFonts w:asciiTheme="minorHAnsi" w:hAnsiTheme="minorHAnsi" w:cstheme="minorHAnsi"/>
          <w:lang w:val="en-US" w:eastAsia="en-US" w:bidi="he-IL"/>
        </w:rPr>
        <w:t>, in order that our nature might by this transfusion of the Divine become itself divine” (</w:t>
      </w:r>
      <w:r w:rsidRPr="002D7706">
        <w:rPr>
          <w:rFonts w:asciiTheme="minorHAnsi" w:hAnsiTheme="minorHAnsi" w:cstheme="minorHAnsi"/>
          <w:i/>
          <w:iCs/>
          <w:lang w:val="en-US" w:eastAsia="en-US" w:bidi="he-IL"/>
        </w:rPr>
        <w:t>The Great Catechism</w:t>
      </w:r>
      <w:r w:rsidRPr="002D7706">
        <w:rPr>
          <w:rFonts w:asciiTheme="minorHAnsi" w:hAnsiTheme="minorHAnsi" w:cstheme="minorHAnsi"/>
          <w:lang w:val="en-US" w:eastAsia="en-US" w:bidi="he-IL"/>
        </w:rPr>
        <w:t>, 25).</w:t>
      </w:r>
    </w:p>
    <w:p w:rsidR="0027038D" w:rsidRPr="002D7706" w:rsidRDefault="0027038D" w:rsidP="0027038D">
      <w:pPr>
        <w:autoSpaceDE w:val="0"/>
        <w:autoSpaceDN w:val="0"/>
        <w:adjustRightInd w:val="0"/>
        <w:ind w:firstLine="450"/>
        <w:rPr>
          <w:rFonts w:asciiTheme="minorHAnsi" w:hAnsiTheme="minorHAnsi" w:cstheme="minorHAnsi"/>
          <w:lang w:val="en-US"/>
        </w:rPr>
      </w:pPr>
      <w:r>
        <w:rPr>
          <w:rFonts w:asciiTheme="minorHAnsi" w:hAnsiTheme="minorHAnsi" w:cstheme="minorHAnsi"/>
          <w:lang w:val="en-US"/>
        </w:rPr>
        <w:t>Another Alexandrian f</w:t>
      </w:r>
      <w:r w:rsidRPr="002D7706">
        <w:rPr>
          <w:rFonts w:asciiTheme="minorHAnsi" w:hAnsiTheme="minorHAnsi" w:cstheme="minorHAnsi"/>
          <w:lang w:val="en-US"/>
        </w:rPr>
        <w:t xml:space="preserve">ather of the fourth century, Cyril, expressed redemption in terms of Christ’s representative humanity: “(He) </w:t>
      </w:r>
      <w:r w:rsidRPr="002D7706">
        <w:rPr>
          <w:rFonts w:asciiTheme="minorHAnsi" w:hAnsiTheme="minorHAnsi" w:cstheme="minorHAnsi"/>
          <w:lang w:val="en-US" w:bidi="he-IL"/>
        </w:rPr>
        <w:t>carries out the work of redemption and recreation in himself, as representing in himself the new humanity.”</w:t>
      </w:r>
      <w:r w:rsidRPr="00212ED7">
        <w:rPr>
          <w:rStyle w:val="FootnoteReference"/>
          <w:rFonts w:asciiTheme="minorHAnsi" w:hAnsiTheme="minorHAnsi" w:cstheme="minorHAnsi"/>
          <w:lang w:bidi="he-IL"/>
        </w:rPr>
        <w:footnoteReference w:id="67"/>
      </w:r>
      <w:r w:rsidRPr="002D7706">
        <w:rPr>
          <w:rFonts w:asciiTheme="minorHAnsi" w:hAnsiTheme="minorHAnsi" w:cstheme="minorHAnsi"/>
          <w:lang w:val="en-US" w:bidi="he-IL"/>
        </w:rPr>
        <w:t xml:space="preserve"> He also</w:t>
      </w:r>
      <w:r>
        <w:rPr>
          <w:rFonts w:asciiTheme="minorHAnsi" w:hAnsiTheme="minorHAnsi" w:cstheme="minorHAnsi"/>
          <w:lang w:val="en-US" w:bidi="he-IL"/>
        </w:rPr>
        <w:t xml:space="preserve"> emphasized</w:t>
      </w:r>
      <w:r w:rsidRPr="002D7706">
        <w:rPr>
          <w:rFonts w:asciiTheme="minorHAnsi" w:hAnsiTheme="minorHAnsi" w:cstheme="minorHAnsi"/>
          <w:lang w:val="en-US" w:bidi="he-IL"/>
        </w:rPr>
        <w:t xml:space="preserve"> the work of the Spirit, who communicates to us divine life: “…the impartation of divine life effected in us through the agency of the indwelling Spirit.”</w:t>
      </w:r>
      <w:r w:rsidRPr="00212ED7">
        <w:rPr>
          <w:rStyle w:val="FootnoteReference"/>
          <w:rFonts w:asciiTheme="minorHAnsi" w:eastAsia="MS Mincho" w:hAnsiTheme="minorHAnsi" w:cstheme="minorHAnsi"/>
          <w:lang w:eastAsia="ja-JP"/>
        </w:rPr>
        <w:footnoteReference w:id="68"/>
      </w:r>
      <w:r w:rsidRPr="002D7706">
        <w:rPr>
          <w:rFonts w:asciiTheme="minorHAnsi" w:hAnsiTheme="minorHAnsi" w:cstheme="minorHAnsi"/>
          <w:lang w:val="en-US" w:bidi="he-IL"/>
        </w:rPr>
        <w:t xml:space="preserve">  </w:t>
      </w:r>
    </w:p>
    <w:p w:rsidR="0027038D" w:rsidRPr="002D7706" w:rsidRDefault="0027038D" w:rsidP="0027038D">
      <w:pPr>
        <w:autoSpaceDE w:val="0"/>
        <w:autoSpaceDN w:val="0"/>
        <w:adjustRightInd w:val="0"/>
        <w:ind w:firstLine="450"/>
        <w:rPr>
          <w:rFonts w:asciiTheme="minorHAnsi" w:eastAsia="MS Mincho" w:hAnsiTheme="minorHAnsi" w:cstheme="minorHAnsi"/>
          <w:lang w:val="en-US" w:eastAsia="ja-JP"/>
        </w:rPr>
      </w:pPr>
      <w:r w:rsidRPr="002D7706">
        <w:rPr>
          <w:rFonts w:asciiTheme="minorHAnsi" w:eastAsia="MS Mincho" w:hAnsiTheme="minorHAnsi" w:cstheme="minorHAnsi"/>
          <w:lang w:val="en-US" w:eastAsia="ja-JP"/>
        </w:rPr>
        <w:t>It is important to note, however, that the acceptance of the doctrine of theosis characterized the Alexandrian rather than the Antiochian theological school. Gross writes, “</w:t>
      </w:r>
      <w:r w:rsidRPr="002D7706">
        <w:rPr>
          <w:rFonts w:asciiTheme="minorHAnsi" w:hAnsiTheme="minorHAnsi" w:cstheme="minorHAnsi"/>
          <w:lang w:val="en-US" w:bidi="he-IL"/>
        </w:rPr>
        <w:t xml:space="preserve">All things considered, the doctrinal climate of the school of Antioch was not very favorable to </w:t>
      </w:r>
      <w:r w:rsidRPr="002D7706">
        <w:rPr>
          <w:rFonts w:asciiTheme="minorHAnsi" w:hAnsiTheme="minorHAnsi" w:cstheme="minorHAnsi"/>
          <w:i/>
          <w:iCs/>
          <w:lang w:val="en-US" w:bidi="he-IL"/>
        </w:rPr>
        <w:t>theopoiesis</w:t>
      </w:r>
      <w:r w:rsidRPr="002D7706">
        <w:rPr>
          <w:rFonts w:asciiTheme="minorHAnsi" w:hAnsiTheme="minorHAnsi" w:cstheme="minorHAnsi"/>
          <w:lang w:val="en-US" w:bidi="he-IL"/>
        </w:rPr>
        <w:t>.”</w:t>
      </w:r>
      <w:r w:rsidRPr="00212ED7">
        <w:rPr>
          <w:rStyle w:val="FootnoteReference"/>
          <w:rFonts w:asciiTheme="minorHAnsi" w:eastAsia="MS Mincho" w:hAnsiTheme="minorHAnsi" w:cstheme="minorHAnsi"/>
          <w:lang w:eastAsia="ja-JP"/>
        </w:rPr>
        <w:footnoteReference w:id="69"/>
      </w:r>
      <w:r w:rsidRPr="002D7706">
        <w:rPr>
          <w:rFonts w:asciiTheme="minorHAnsi" w:hAnsiTheme="minorHAnsi" w:cstheme="minorHAnsi"/>
          <w:lang w:val="en-US" w:bidi="he-IL"/>
        </w:rPr>
        <w:t xml:space="preserve"> </w:t>
      </w:r>
      <w:r w:rsidRPr="002D7706">
        <w:rPr>
          <w:rFonts w:asciiTheme="minorHAnsi" w:eastAsia="MS Mincho" w:hAnsiTheme="minorHAnsi" w:cstheme="minorHAnsi"/>
          <w:lang w:val="en-US" w:eastAsia="ja-JP"/>
        </w:rPr>
        <w:t>One of the primary representatives of Antiochian thought, John Chrysostom, speaks only of our status as “children of God”: “</w:t>
      </w:r>
      <w:r w:rsidRPr="002D7706">
        <w:rPr>
          <w:rFonts w:asciiTheme="minorHAnsi" w:hAnsiTheme="minorHAnsi" w:cstheme="minorHAnsi"/>
          <w:lang w:val="en-US" w:eastAsia="en-US" w:bidi="he-IL"/>
        </w:rPr>
        <w:t>For He became Son of man, who was God’s own Son, in order that He might make the sons of men to be children of God</w:t>
      </w:r>
      <w:r w:rsidRPr="002D7706">
        <w:rPr>
          <w:rFonts w:asciiTheme="minorHAnsi" w:eastAsia="MS Mincho" w:hAnsiTheme="minorHAnsi" w:cstheme="minorHAnsi"/>
          <w:lang w:val="en-US" w:eastAsia="ja-JP"/>
        </w:rPr>
        <w:t>” (</w:t>
      </w:r>
      <w:r w:rsidRPr="002D7706">
        <w:rPr>
          <w:rFonts w:asciiTheme="minorHAnsi" w:eastAsia="MS Mincho" w:hAnsiTheme="minorHAnsi" w:cstheme="minorHAnsi"/>
          <w:i/>
          <w:iCs/>
          <w:lang w:val="en-US" w:eastAsia="ja-JP"/>
        </w:rPr>
        <w:t>Commentary of the Gospel of John</w:t>
      </w:r>
      <w:r>
        <w:rPr>
          <w:rFonts w:asciiTheme="minorHAnsi" w:eastAsia="MS Mincho" w:hAnsiTheme="minorHAnsi" w:cstheme="minorHAnsi"/>
          <w:lang w:val="en-US" w:eastAsia="ja-JP"/>
        </w:rPr>
        <w:t xml:space="preserve">, 11.1). </w:t>
      </w:r>
      <w:r w:rsidRPr="002D7706">
        <w:rPr>
          <w:rFonts w:asciiTheme="minorHAnsi" w:eastAsia="MS Mincho" w:hAnsiTheme="minorHAnsi" w:cstheme="minorHAnsi"/>
          <w:lang w:val="en-US" w:eastAsia="ja-JP"/>
        </w:rPr>
        <w:t>Zaitsev comments on Chrysostom’s theology in more detail:</w:t>
      </w:r>
    </w:p>
    <w:p w:rsidR="0027038D" w:rsidRPr="002D7706" w:rsidRDefault="0027038D" w:rsidP="0027038D">
      <w:pPr>
        <w:autoSpaceDE w:val="0"/>
        <w:autoSpaceDN w:val="0"/>
        <w:adjustRightInd w:val="0"/>
        <w:ind w:firstLine="425"/>
        <w:rPr>
          <w:rFonts w:asciiTheme="minorHAnsi" w:eastAsia="MS Mincho" w:hAnsiTheme="minorHAnsi" w:cstheme="minorHAnsi"/>
          <w:lang w:val="en-US" w:eastAsia="ja-JP"/>
        </w:rPr>
      </w:pPr>
    </w:p>
    <w:p w:rsidR="0027038D" w:rsidRPr="002D7706" w:rsidRDefault="0027038D" w:rsidP="0027038D">
      <w:pPr>
        <w:autoSpaceDE w:val="0"/>
        <w:autoSpaceDN w:val="0"/>
        <w:adjustRightInd w:val="0"/>
        <w:ind w:left="720"/>
        <w:rPr>
          <w:rFonts w:asciiTheme="minorHAnsi" w:eastAsia="MS Mincho" w:hAnsiTheme="minorHAnsi" w:cstheme="minorHAnsi"/>
          <w:lang w:val="en-US" w:eastAsia="ja-JP"/>
        </w:rPr>
      </w:pPr>
      <w:r w:rsidRPr="002D7706">
        <w:rPr>
          <w:rFonts w:asciiTheme="minorHAnsi" w:eastAsia="MS Mincho" w:hAnsiTheme="minorHAnsi" w:cstheme="minorHAnsi"/>
          <w:lang w:val="en-US" w:eastAsia="ja-JP"/>
        </w:rPr>
        <w:t>(Chrysostom) describes salvation as becoming like God, which is accomplished by constant attention to good works, especially love and mercy, the source of which is Christ. Beyond that he would not go, and considered that it was inappropriate to call that “theosis,” because there is no biblical warrant for that.</w:t>
      </w:r>
      <w:r w:rsidRPr="00212ED7">
        <w:rPr>
          <w:rStyle w:val="FootnoteReference"/>
          <w:rFonts w:asciiTheme="minorHAnsi" w:hAnsiTheme="minorHAnsi" w:cstheme="minorHAnsi"/>
          <w:lang w:bidi="he-IL"/>
        </w:rPr>
        <w:footnoteReference w:id="70"/>
      </w:r>
      <w:r w:rsidRPr="002D7706">
        <w:rPr>
          <w:rFonts w:asciiTheme="minorHAnsi" w:eastAsia="MS Mincho" w:hAnsiTheme="minorHAnsi" w:cstheme="minorHAnsi"/>
          <w:lang w:val="en-US" w:eastAsia="ja-JP"/>
        </w:rPr>
        <w:t xml:space="preserve"> </w:t>
      </w:r>
    </w:p>
    <w:p w:rsidR="0027038D" w:rsidRPr="002D7706" w:rsidRDefault="0027038D" w:rsidP="0027038D">
      <w:pPr>
        <w:rPr>
          <w:rFonts w:asciiTheme="minorHAnsi" w:hAnsiTheme="minorHAnsi" w:cstheme="minorHAnsi"/>
          <w:lang w:val="en-US" w:bidi="he-IL"/>
        </w:rPr>
      </w:pP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eastAsia="en-US" w:bidi="he-IL"/>
        </w:rPr>
      </w:pPr>
      <w:r w:rsidRPr="002D7706">
        <w:rPr>
          <w:rFonts w:asciiTheme="minorHAnsi" w:hAnsiTheme="minorHAnsi" w:cstheme="minorHAnsi"/>
          <w:lang w:val="en-US"/>
        </w:rPr>
        <w:t xml:space="preserve">In the eighth century, the theme of deification again appears, this time in the writing of John of Damascus, author of </w:t>
      </w:r>
      <w:r w:rsidRPr="002D7706">
        <w:rPr>
          <w:rFonts w:asciiTheme="minorHAnsi" w:hAnsiTheme="minorHAnsi" w:cstheme="minorHAnsi"/>
          <w:i/>
          <w:iCs/>
          <w:lang w:val="en-US"/>
        </w:rPr>
        <w:t>An Exact Exposition of the Orthodox Faith</w:t>
      </w:r>
      <w:r w:rsidRPr="002D7706">
        <w:rPr>
          <w:rFonts w:asciiTheme="minorHAnsi" w:hAnsiTheme="minorHAnsi" w:cstheme="minorHAnsi"/>
          <w:lang w:val="en-US"/>
        </w:rPr>
        <w:t xml:space="preserve">. The </w:t>
      </w:r>
      <w:r>
        <w:rPr>
          <w:rFonts w:asciiTheme="minorHAnsi" w:hAnsiTheme="minorHAnsi" w:cstheme="minorHAnsi"/>
          <w:lang w:val="en-US"/>
        </w:rPr>
        <w:t>Damascene emphasized</w:t>
      </w:r>
      <w:r w:rsidRPr="002D7706">
        <w:rPr>
          <w:rFonts w:asciiTheme="minorHAnsi" w:hAnsiTheme="minorHAnsi" w:cstheme="minorHAnsi"/>
          <w:lang w:val="en-US"/>
        </w:rPr>
        <w:t xml:space="preserve"> union with God not in His essence, but in His energies (although that terminology was developed later): “…</w:t>
      </w:r>
      <w:r w:rsidRPr="002D7706">
        <w:rPr>
          <w:rFonts w:asciiTheme="minorHAnsi" w:hAnsiTheme="minorHAnsi" w:cstheme="minorHAnsi"/>
          <w:lang w:val="en-US" w:eastAsia="en-US" w:bidi="he-IL"/>
        </w:rPr>
        <w:t xml:space="preserve">becoming deified, in the way of participating in the divine glory and not in that of a change into the divine being” (2.12).    </w:t>
      </w:r>
    </w:p>
    <w:p w:rsidR="0027038D" w:rsidRPr="002D7706" w:rsidRDefault="0027038D" w:rsidP="0027038D">
      <w:pPr>
        <w:ind w:firstLine="450"/>
        <w:rPr>
          <w:rFonts w:asciiTheme="minorHAnsi" w:hAnsiTheme="minorHAnsi" w:cstheme="minorHAnsi"/>
          <w:lang w:val="en-US" w:eastAsia="en-US" w:bidi="he-IL"/>
        </w:rPr>
      </w:pPr>
      <w:r w:rsidRPr="002D7706">
        <w:rPr>
          <w:rFonts w:asciiTheme="minorHAnsi" w:hAnsiTheme="minorHAnsi" w:cstheme="minorHAnsi"/>
          <w:lang w:val="en-US" w:eastAsia="en-US" w:bidi="he-IL"/>
        </w:rPr>
        <w:t xml:space="preserve">In John </w:t>
      </w:r>
      <w:r w:rsidRPr="002D7706">
        <w:rPr>
          <w:rFonts w:asciiTheme="minorHAnsi" w:hAnsiTheme="minorHAnsi" w:cstheme="minorHAnsi"/>
          <w:lang w:val="en-US"/>
        </w:rPr>
        <w:t>of Damascus</w:t>
      </w:r>
      <w:r>
        <w:rPr>
          <w:rFonts w:asciiTheme="minorHAnsi" w:hAnsiTheme="minorHAnsi" w:cstheme="minorHAnsi"/>
          <w:lang w:val="en-US"/>
        </w:rPr>
        <w:t>,</w:t>
      </w:r>
      <w:r w:rsidRPr="002D7706">
        <w:rPr>
          <w:rFonts w:asciiTheme="minorHAnsi" w:hAnsiTheme="minorHAnsi" w:cstheme="minorHAnsi"/>
          <w:lang w:val="en-US" w:eastAsia="en-US" w:bidi="he-IL"/>
        </w:rPr>
        <w:t xml:space="preserve"> we see the concept of Christ’s representative humanity more fully developed. He reasoned that since the humanity of Christ was not (contra Nestorius) an independent individual, it could serve as a representative humanity for all people.</w:t>
      </w:r>
      <w:r w:rsidRPr="00212ED7">
        <w:rPr>
          <w:rStyle w:val="FootnoteReference"/>
          <w:rFonts w:asciiTheme="minorHAnsi" w:hAnsiTheme="minorHAnsi" w:cstheme="minorHAnsi"/>
          <w:lang w:bidi="he-IL"/>
        </w:rPr>
        <w:footnoteReference w:id="71"/>
      </w:r>
      <w:r w:rsidRPr="002D7706">
        <w:rPr>
          <w:rFonts w:asciiTheme="minorHAnsi" w:hAnsiTheme="minorHAnsi" w:cstheme="minorHAnsi"/>
          <w:lang w:val="en-US" w:eastAsia="en-US" w:bidi="he-IL"/>
        </w:rPr>
        <w:t xml:space="preserve"> Christ deified His human nature, which thus makes deification available to all. Zaitsev summarizes, “Since the human nature of Christ was ‘saved, renewed and strengthened,’ the nature of other people could be saved, renewed and strengthened, in other words, deified.”</w:t>
      </w:r>
      <w:r w:rsidRPr="00212ED7">
        <w:rPr>
          <w:rStyle w:val="FootnoteReference"/>
          <w:rFonts w:asciiTheme="minorHAnsi" w:hAnsiTheme="minorHAnsi" w:cstheme="minorHAnsi"/>
          <w:lang w:bidi="he-IL"/>
        </w:rPr>
        <w:footnoteReference w:id="72"/>
      </w:r>
      <w:r w:rsidRPr="002D7706">
        <w:rPr>
          <w:rFonts w:asciiTheme="minorHAnsi" w:hAnsiTheme="minorHAnsi" w:cstheme="minorHAnsi"/>
          <w:lang w:val="en-US" w:eastAsia="en-US" w:bidi="he-IL"/>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eastAsia="en-US" w:bidi="he-IL"/>
        </w:rPr>
        <w:t>The French-born Orthodox s</w:t>
      </w:r>
      <w:r>
        <w:rPr>
          <w:rFonts w:asciiTheme="minorHAnsi" w:hAnsiTheme="minorHAnsi" w:cstheme="minorHAnsi"/>
          <w:lang w:val="en-US" w:eastAsia="en-US" w:bidi="he-IL"/>
        </w:rPr>
        <w:t>cholar John Meyendorff considered</w:t>
      </w:r>
      <w:r w:rsidRPr="002D7706">
        <w:rPr>
          <w:rFonts w:asciiTheme="minorHAnsi" w:hAnsiTheme="minorHAnsi" w:cstheme="minorHAnsi"/>
          <w:lang w:val="en-US" w:eastAsia="en-US" w:bidi="he-IL"/>
        </w:rPr>
        <w:t xml:space="preserve"> our next ancient thinker, Maximus the Confessor, the “real father of Byzantine theology.”</w:t>
      </w:r>
      <w:r w:rsidRPr="00212ED7">
        <w:rPr>
          <w:rStyle w:val="FootnoteReference"/>
          <w:rFonts w:asciiTheme="minorHAnsi" w:hAnsiTheme="minorHAnsi" w:cstheme="minorHAnsi"/>
          <w:lang w:bidi="he-IL"/>
        </w:rPr>
        <w:footnoteReference w:id="73"/>
      </w:r>
      <w:r w:rsidRPr="002D7706">
        <w:rPr>
          <w:rFonts w:asciiTheme="minorHAnsi" w:hAnsiTheme="minorHAnsi" w:cstheme="minorHAnsi"/>
          <w:lang w:val="en-US" w:eastAsia="en-US" w:bidi="he-IL"/>
        </w:rPr>
        <w:t xml:space="preserve"> In Maximus’ writings, we observe all aspects of the fully developed doctrine of theosis. First, he repeat</w:t>
      </w:r>
      <w:r>
        <w:rPr>
          <w:rFonts w:asciiTheme="minorHAnsi" w:hAnsiTheme="minorHAnsi" w:cstheme="minorHAnsi"/>
          <w:lang w:val="en-US" w:eastAsia="en-US" w:bidi="he-IL"/>
        </w:rPr>
        <w:t>ed</w:t>
      </w:r>
      <w:r w:rsidRPr="002D7706">
        <w:rPr>
          <w:rFonts w:asciiTheme="minorHAnsi" w:hAnsiTheme="minorHAnsi" w:cstheme="minorHAnsi"/>
          <w:lang w:val="en-US" w:eastAsia="en-US" w:bidi="he-IL"/>
        </w:rPr>
        <w:t xml:space="preserve"> the formula of Athanasius, thus affirming deification th</w:t>
      </w:r>
      <w:r>
        <w:rPr>
          <w:rFonts w:asciiTheme="minorHAnsi" w:hAnsiTheme="minorHAnsi" w:cstheme="minorHAnsi"/>
          <w:lang w:val="en-US" w:eastAsia="en-US" w:bidi="he-IL"/>
        </w:rPr>
        <w:t>rough</w:t>
      </w:r>
      <w:r w:rsidRPr="002D7706">
        <w:rPr>
          <w:rFonts w:asciiTheme="minorHAnsi" w:hAnsiTheme="minorHAnsi" w:cstheme="minorHAnsi"/>
          <w:lang w:val="en-US" w:eastAsia="en-US" w:bidi="he-IL"/>
        </w:rPr>
        <w:t xml:space="preserve"> the incarnation: “The Incarnate Word accomplishes the descent of God to the world and creates the possibility of movement in the opposite direction… a person becomes god by grace.”</w:t>
      </w:r>
      <w:r w:rsidRPr="00212ED7">
        <w:rPr>
          <w:rStyle w:val="FootnoteReference"/>
          <w:rFonts w:asciiTheme="minorHAnsi" w:hAnsiTheme="minorHAnsi" w:cstheme="minorHAnsi"/>
          <w:lang w:bidi="he-IL"/>
        </w:rPr>
        <w:footnoteReference w:id="74"/>
      </w:r>
      <w:r>
        <w:rPr>
          <w:rFonts w:asciiTheme="minorHAnsi" w:hAnsiTheme="minorHAnsi" w:cstheme="minorHAnsi"/>
          <w:lang w:val="en-US" w:eastAsia="en-US" w:bidi="he-IL"/>
        </w:rPr>
        <w:t xml:space="preserve"> He also affirmed</w:t>
      </w:r>
      <w:r w:rsidRPr="002D7706">
        <w:rPr>
          <w:rFonts w:asciiTheme="minorHAnsi" w:hAnsiTheme="minorHAnsi" w:cstheme="minorHAnsi"/>
          <w:lang w:val="en-US" w:eastAsia="en-US" w:bidi="he-IL"/>
        </w:rPr>
        <w:t xml:space="preserve"> the doctrine of the </w:t>
      </w:r>
      <w:r w:rsidRPr="002D7706">
        <w:rPr>
          <w:rFonts w:asciiTheme="minorHAnsi" w:hAnsiTheme="minorHAnsi" w:cstheme="minorHAnsi"/>
          <w:i/>
          <w:iCs/>
          <w:lang w:val="en-US"/>
        </w:rPr>
        <w:t xml:space="preserve">perichoresis </w:t>
      </w:r>
      <w:r w:rsidRPr="002D7706">
        <w:rPr>
          <w:rFonts w:asciiTheme="minorHAnsi" w:hAnsiTheme="minorHAnsi" w:cstheme="minorHAnsi"/>
          <w:lang w:val="en-US"/>
        </w:rPr>
        <w:t>of divine attributes to Christ’s humanity.</w:t>
      </w:r>
      <w:r w:rsidRPr="00212ED7">
        <w:rPr>
          <w:rStyle w:val="FootnoteReference"/>
          <w:rFonts w:asciiTheme="minorHAnsi" w:hAnsiTheme="minorHAnsi" w:cstheme="minorHAnsi"/>
          <w:lang w:bidi="he-IL"/>
        </w:rPr>
        <w:footnoteReference w:id="75"/>
      </w:r>
      <w:r w:rsidRPr="002D7706">
        <w:rPr>
          <w:rFonts w:asciiTheme="minorHAnsi" w:hAnsiTheme="minorHAnsi" w:cstheme="minorHAnsi"/>
          <w:lang w:val="en-US"/>
        </w:rPr>
        <w:t xml:space="preserve"> At the same time, union with God does not occur at the level of God’s essence: </w:t>
      </w:r>
      <w:r w:rsidRPr="002D7706">
        <w:rPr>
          <w:rFonts w:asciiTheme="minorHAnsi" w:hAnsiTheme="minorHAnsi" w:cstheme="minorHAnsi"/>
          <w:lang w:val="en-US" w:bidi="he-IL"/>
        </w:rPr>
        <w:t xml:space="preserve">«When someone is deified by grace, he becomes one with God, except for identity in </w:t>
      </w:r>
      <w:r w:rsidRPr="002D7706">
        <w:rPr>
          <w:rFonts w:asciiTheme="minorHAnsi" w:hAnsiTheme="minorHAnsi" w:cstheme="minorHAnsi"/>
          <w:i/>
          <w:iCs/>
          <w:lang w:val="en-US" w:bidi="he-IL"/>
        </w:rPr>
        <w:t>ousia</w:t>
      </w:r>
      <w:r w:rsidRPr="002D7706">
        <w:rPr>
          <w:rFonts w:asciiTheme="minorHAnsi" w:hAnsiTheme="minorHAnsi" w:cstheme="minorHAnsi"/>
          <w:lang w:val="en-US" w:bidi="he-IL"/>
        </w:rPr>
        <w:t xml:space="preserve"> (that is, essence)” (</w:t>
      </w:r>
      <w:r w:rsidRPr="002D7706">
        <w:rPr>
          <w:rFonts w:asciiTheme="minorHAnsi" w:hAnsiTheme="minorHAnsi" w:cstheme="minorHAnsi"/>
          <w:i/>
          <w:iCs/>
          <w:lang w:val="en-US" w:bidi="he-IL"/>
        </w:rPr>
        <w:t xml:space="preserve">Book of </w:t>
      </w:r>
      <w:r w:rsidRPr="002D7706">
        <w:rPr>
          <w:rFonts w:asciiTheme="minorHAnsi" w:hAnsiTheme="minorHAnsi" w:cstheme="minorHAnsi"/>
          <w:i/>
          <w:iCs/>
          <w:lang w:val="en-US"/>
        </w:rPr>
        <w:t>Ambiguities</w:t>
      </w:r>
      <w:r w:rsidRPr="002D7706">
        <w:rPr>
          <w:rFonts w:asciiTheme="minorHAnsi" w:hAnsiTheme="minorHAnsi" w:cstheme="minorHAnsi"/>
          <w:lang w:val="en-US" w:bidi="he-IL"/>
        </w:rPr>
        <w:t>, 41).</w:t>
      </w:r>
      <w:r w:rsidRPr="00212ED7">
        <w:rPr>
          <w:rStyle w:val="FootnoteReference"/>
          <w:rFonts w:asciiTheme="minorHAnsi" w:hAnsiTheme="minorHAnsi" w:cstheme="minorHAnsi"/>
          <w:lang w:bidi="he-IL"/>
        </w:rPr>
        <w:footnoteReference w:id="76"/>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Simeon the New Theologian emphasized the mystical aspect of theosis. The mystical way leads to an experience of ecstasy as the person approaches union with the divine. He experiences “a sudden and conscious outpouring of the Spirit with an experience of God as light, accompanied by a gift of tears and deep compunction or contrition for sin.”</w:t>
      </w:r>
      <w:r w:rsidRPr="00212ED7">
        <w:rPr>
          <w:rStyle w:val="FootnoteReference"/>
          <w:rFonts w:asciiTheme="minorHAnsi" w:eastAsia="MS Mincho" w:hAnsiTheme="minorHAnsi" w:cstheme="minorHAnsi"/>
          <w:lang w:eastAsia="ja-JP"/>
        </w:rPr>
        <w:footnoteReference w:id="77"/>
      </w:r>
      <w:r w:rsidRPr="002D7706">
        <w:rPr>
          <w:rFonts w:asciiTheme="minorHAnsi" w:hAnsiTheme="minorHAnsi" w:cstheme="minorHAnsi"/>
          <w:lang w:val="en-US"/>
        </w:rPr>
        <w:t xml:space="preserve"> </w:t>
      </w:r>
      <w:r>
        <w:rPr>
          <w:rFonts w:asciiTheme="minorHAnsi" w:hAnsiTheme="minorHAnsi" w:cstheme="minorHAnsi"/>
          <w:lang w:val="en-US"/>
        </w:rPr>
        <w:t>Such as person</w:t>
      </w:r>
      <w:r w:rsidRPr="002D7706">
        <w:rPr>
          <w:rFonts w:asciiTheme="minorHAnsi" w:hAnsiTheme="minorHAnsi" w:cstheme="minorHAnsi"/>
          <w:lang w:val="en-US"/>
        </w:rPr>
        <w:t xml:space="preserve"> has a direct experience with the “Light of Tabor.” Zaitsev explains Simeon’s view: “Mystical union with God takes the form of a vision of a divine brilliance according to the patter of Christ’s transfiguration on Mount Tabor.”</w:t>
      </w:r>
      <w:r w:rsidRPr="00212ED7">
        <w:rPr>
          <w:rStyle w:val="FootnoteReference"/>
          <w:rFonts w:asciiTheme="minorHAnsi" w:hAnsiTheme="minorHAnsi" w:cstheme="minorHAnsi"/>
          <w:lang w:bidi="he-IL"/>
        </w:rPr>
        <w:footnoteReference w:id="78"/>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Finally, Gregory Palamas (13</w:t>
      </w:r>
      <w:r>
        <w:rPr>
          <w:rFonts w:asciiTheme="minorHAnsi" w:hAnsiTheme="minorHAnsi" w:cstheme="minorHAnsi"/>
          <w:lang w:val="en-US"/>
        </w:rPr>
        <w:t>th</w:t>
      </w:r>
      <w:r w:rsidRPr="002D7706">
        <w:rPr>
          <w:rFonts w:asciiTheme="minorHAnsi" w:hAnsiTheme="minorHAnsi" w:cstheme="minorHAnsi"/>
          <w:lang w:val="en-US"/>
        </w:rPr>
        <w:t>-14</w:t>
      </w:r>
      <w:r>
        <w:rPr>
          <w:rFonts w:asciiTheme="minorHAnsi" w:hAnsiTheme="minorHAnsi" w:cstheme="minorHAnsi"/>
          <w:lang w:val="en-US"/>
        </w:rPr>
        <w:t>th</w:t>
      </w:r>
      <w:r w:rsidRPr="002D7706">
        <w:rPr>
          <w:rFonts w:asciiTheme="minorHAnsi" w:hAnsiTheme="minorHAnsi" w:cstheme="minorHAnsi"/>
          <w:lang w:val="en-US"/>
        </w:rPr>
        <w:t xml:space="preserve"> c.) added the capstone to the doctrine of theosis.</w:t>
      </w:r>
      <w:r w:rsidRPr="00212ED7">
        <w:rPr>
          <w:rStyle w:val="FootnoteReference"/>
          <w:rFonts w:asciiTheme="minorHAnsi" w:hAnsiTheme="minorHAnsi" w:cstheme="minorHAnsi"/>
          <w:lang w:bidi="he-IL"/>
        </w:rPr>
        <w:footnoteReference w:id="79"/>
      </w:r>
      <w:r w:rsidRPr="002D7706">
        <w:rPr>
          <w:rFonts w:asciiTheme="minorHAnsi" w:hAnsiTheme="minorHAnsi" w:cstheme="minorHAnsi"/>
          <w:lang w:val="en-US"/>
        </w:rPr>
        <w:t xml:space="preserve"> He more fully developed the concept of God’s “energies” in distinction from His “essence.” Union is possible only with the former. He also promoted the discipline of </w:t>
      </w:r>
      <w:r w:rsidRPr="002D7706">
        <w:rPr>
          <w:rFonts w:asciiTheme="minorHAnsi" w:hAnsiTheme="minorHAnsi" w:cstheme="minorHAnsi"/>
          <w:i/>
          <w:iCs/>
          <w:lang w:val="en-US" w:bidi="he-IL"/>
        </w:rPr>
        <w:t>hesychia</w:t>
      </w:r>
      <w:r w:rsidRPr="002D7706">
        <w:rPr>
          <w:rFonts w:asciiTheme="minorHAnsi" w:hAnsiTheme="minorHAnsi" w:cstheme="minorHAnsi"/>
          <w:lang w:val="en-US" w:bidi="he-IL"/>
        </w:rPr>
        <w:t xml:space="preserve"> as a means of attaining mystical union and the vision of the </w:t>
      </w:r>
      <w:r w:rsidRPr="002D7706">
        <w:rPr>
          <w:rFonts w:asciiTheme="minorHAnsi" w:hAnsiTheme="minorHAnsi" w:cstheme="minorHAnsi"/>
          <w:lang w:val="en-US"/>
        </w:rPr>
        <w:t>“Light of Tabor,” which “constitutes for him the surest evidence of his deification and the highest form of his knowledge of God.”</w:t>
      </w:r>
      <w:r w:rsidRPr="00212ED7">
        <w:rPr>
          <w:rStyle w:val="FootnoteReference"/>
          <w:rFonts w:asciiTheme="minorHAnsi" w:eastAsia="MS Mincho" w:hAnsiTheme="minorHAnsi" w:cstheme="minorHAnsi"/>
          <w:lang w:eastAsia="ja-JP"/>
        </w:rPr>
        <w:footnoteReference w:id="80"/>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 xml:space="preserve">It will surprise the </w:t>
      </w:r>
      <w:r>
        <w:rPr>
          <w:rFonts w:asciiTheme="minorHAnsi" w:hAnsiTheme="minorHAnsi" w:cstheme="minorHAnsi"/>
          <w:lang w:val="en-US"/>
        </w:rPr>
        <w:t>E</w:t>
      </w:r>
      <w:r w:rsidRPr="002D7706">
        <w:rPr>
          <w:rFonts w:asciiTheme="minorHAnsi" w:hAnsiTheme="minorHAnsi" w:cstheme="minorHAnsi"/>
          <w:lang w:val="en-US"/>
        </w:rPr>
        <w:t xml:space="preserve">vangelical reader to discover traces of the theosis doctrine in the Western Church as well, not only in Roman Catholic theology, but also in the theology of the great Reformer Martin Luther. </w:t>
      </w:r>
      <w:r>
        <w:rPr>
          <w:rFonts w:asciiTheme="minorHAnsi" w:hAnsiTheme="minorHAnsi" w:cstheme="minorHAnsi"/>
          <w:lang w:val="en-US"/>
        </w:rPr>
        <w:t>W</w:t>
      </w:r>
      <w:r w:rsidRPr="002D7706">
        <w:rPr>
          <w:rFonts w:asciiTheme="minorHAnsi" w:hAnsiTheme="minorHAnsi" w:cstheme="minorHAnsi"/>
          <w:lang w:val="en-US"/>
        </w:rPr>
        <w:t>e encounter it in the West</w:t>
      </w:r>
      <w:r>
        <w:rPr>
          <w:rFonts w:asciiTheme="minorHAnsi" w:hAnsiTheme="minorHAnsi" w:cstheme="minorHAnsi"/>
          <w:lang w:val="en-US"/>
        </w:rPr>
        <w:t>, though,</w:t>
      </w:r>
      <w:r w:rsidRPr="002D7706">
        <w:rPr>
          <w:rFonts w:asciiTheme="minorHAnsi" w:hAnsiTheme="minorHAnsi" w:cstheme="minorHAnsi"/>
          <w:lang w:val="en-US"/>
        </w:rPr>
        <w:t xml:space="preserve"> much less frequently and in a less developed form, possibly due to, as Hallonsten explains it, the more marked distinction in Western thought between creature </w:t>
      </w:r>
      <w:r>
        <w:rPr>
          <w:rFonts w:asciiTheme="minorHAnsi" w:hAnsiTheme="minorHAnsi" w:cstheme="minorHAnsi"/>
          <w:lang w:val="en-US"/>
        </w:rPr>
        <w:t xml:space="preserve">and Creator, nature and grace. </w:t>
      </w:r>
      <w:r w:rsidRPr="002D7706">
        <w:rPr>
          <w:rFonts w:asciiTheme="minorHAnsi" w:hAnsiTheme="minorHAnsi" w:cstheme="minorHAnsi"/>
          <w:lang w:val="en-US"/>
        </w:rPr>
        <w:t>Consequently, there was less readiness in the West to posit an “infusion” of divine grace into human nature.</w:t>
      </w:r>
      <w:r w:rsidRPr="00212ED7">
        <w:rPr>
          <w:rStyle w:val="FootnoteReference"/>
          <w:rFonts w:asciiTheme="minorHAnsi" w:hAnsiTheme="minorHAnsi" w:cstheme="minorHAnsi"/>
        </w:rPr>
        <w:footnoteReference w:id="81"/>
      </w:r>
      <w:r w:rsidRPr="002D7706">
        <w:rPr>
          <w:rFonts w:asciiTheme="minorHAnsi" w:hAnsiTheme="minorHAnsi" w:cstheme="minorHAnsi"/>
          <w:lang w:val="en-US"/>
        </w:rPr>
        <w:t xml:space="preserve">  </w:t>
      </w:r>
      <w:r>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szCs w:val="28"/>
          <w:lang w:val="en-US" w:eastAsia="en-US" w:bidi="he-IL"/>
        </w:rPr>
      </w:pPr>
      <w:r w:rsidRPr="002D7706">
        <w:rPr>
          <w:rFonts w:asciiTheme="minorHAnsi" w:hAnsiTheme="minorHAnsi" w:cstheme="minorHAnsi"/>
          <w:lang w:val="en-US"/>
        </w:rPr>
        <w:t>Although traces of this doctrine can be found in some early Western Fathers, namely Hippolytus of Rome and Hilary of Poitiers, we will focus on the views of Augustine.</w:t>
      </w:r>
      <w:r w:rsidRPr="00212ED7">
        <w:rPr>
          <w:rStyle w:val="FootnoteReference"/>
          <w:rFonts w:asciiTheme="minorHAnsi" w:hAnsiTheme="minorHAnsi" w:cstheme="minorHAnsi"/>
          <w:lang w:bidi="he-IL"/>
        </w:rPr>
        <w:footnoteReference w:id="82"/>
      </w:r>
      <w:r w:rsidRPr="002D7706">
        <w:rPr>
          <w:rFonts w:asciiTheme="minorHAnsi" w:hAnsiTheme="minorHAnsi" w:cstheme="minorHAnsi"/>
          <w:lang w:val="en-US"/>
        </w:rPr>
        <w:t xml:space="preserve"> Apparently, the echo of Athanasius’ pronouncement reached the shores of Carthage, for Augustine writes, “</w:t>
      </w:r>
      <w:r w:rsidRPr="002D7706">
        <w:rPr>
          <w:rFonts w:asciiTheme="minorHAnsi" w:hAnsiTheme="minorHAnsi" w:cstheme="minorHAnsi"/>
          <w:lang w:val="en-US" w:bidi="he-IL"/>
        </w:rPr>
        <w:t>He who was God became man to make gods those who were men” (</w:t>
      </w:r>
      <w:r w:rsidRPr="002D7706">
        <w:rPr>
          <w:rFonts w:asciiTheme="minorHAnsi" w:hAnsiTheme="minorHAnsi" w:cstheme="minorHAnsi"/>
          <w:i/>
          <w:iCs/>
          <w:lang w:val="en-US" w:bidi="he-IL"/>
        </w:rPr>
        <w:t>Sermons</w:t>
      </w:r>
      <w:r w:rsidRPr="002D7706">
        <w:rPr>
          <w:rFonts w:asciiTheme="minorHAnsi" w:hAnsiTheme="minorHAnsi" w:cstheme="minorHAnsi"/>
          <w:lang w:val="en-US" w:bidi="he-IL"/>
        </w:rPr>
        <w:t>, 192.7),</w:t>
      </w:r>
      <w:r w:rsidRPr="00212ED7">
        <w:rPr>
          <w:rStyle w:val="FootnoteReference"/>
          <w:rFonts w:asciiTheme="minorHAnsi" w:hAnsiTheme="minorHAnsi" w:cstheme="minorHAnsi"/>
          <w:lang w:bidi="he-IL"/>
        </w:rPr>
        <w:footnoteReference w:id="83"/>
      </w:r>
      <w:r w:rsidRPr="002D7706">
        <w:rPr>
          <w:rFonts w:asciiTheme="minorHAnsi" w:hAnsiTheme="minorHAnsi" w:cstheme="minorHAnsi"/>
          <w:lang w:val="en-US" w:bidi="he-IL"/>
        </w:rPr>
        <w:t xml:space="preserve"> and, “</w:t>
      </w:r>
      <w:r w:rsidRPr="002D7706">
        <w:rPr>
          <w:rFonts w:asciiTheme="minorHAnsi" w:hAnsiTheme="minorHAnsi" w:cstheme="minorHAnsi"/>
          <w:szCs w:val="28"/>
          <w:lang w:val="en-US" w:eastAsia="en-US" w:bidi="he-IL"/>
        </w:rPr>
        <w:t>By being made partaker of our mortality, He made us partakers of His divinity” (</w:t>
      </w:r>
      <w:r w:rsidRPr="002D7706">
        <w:rPr>
          <w:rFonts w:asciiTheme="minorHAnsi" w:hAnsiTheme="minorHAnsi" w:cstheme="minorHAnsi"/>
          <w:i/>
          <w:iCs/>
          <w:szCs w:val="28"/>
          <w:lang w:val="en-US" w:eastAsia="en-US" w:bidi="he-IL"/>
        </w:rPr>
        <w:t>On the Trinity</w:t>
      </w:r>
      <w:r w:rsidRPr="002D7706">
        <w:rPr>
          <w:rFonts w:asciiTheme="minorHAnsi" w:hAnsiTheme="minorHAnsi" w:cstheme="minorHAnsi"/>
          <w:szCs w:val="28"/>
          <w:lang w:val="en-US" w:eastAsia="en-US" w:bidi="he-IL"/>
        </w:rPr>
        <w:t>, 4.2).</w:t>
      </w:r>
    </w:p>
    <w:p w:rsidR="0027038D" w:rsidRPr="002D7706" w:rsidRDefault="0027038D" w:rsidP="0027038D">
      <w:pPr>
        <w:ind w:firstLine="450"/>
        <w:rPr>
          <w:rFonts w:asciiTheme="minorHAnsi" w:hAnsiTheme="minorHAnsi" w:cstheme="minorHAnsi"/>
          <w:b/>
          <w:bCs/>
          <w:lang w:val="en-US"/>
        </w:rPr>
      </w:pPr>
      <w:r w:rsidRPr="002D7706">
        <w:rPr>
          <w:rFonts w:asciiTheme="minorHAnsi" w:hAnsiTheme="minorHAnsi" w:cstheme="minorHAnsi"/>
          <w:szCs w:val="28"/>
          <w:lang w:val="en-US" w:eastAsia="en-US" w:bidi="he-IL"/>
        </w:rPr>
        <w:t>Augustine’s faithful disciple of a later century, Thomas Aquinas, echoes his teacher’s thought: “</w:t>
      </w:r>
      <w:r w:rsidRPr="002D7706">
        <w:rPr>
          <w:rFonts w:asciiTheme="minorHAnsi" w:hAnsiTheme="minorHAnsi" w:cstheme="minorHAnsi"/>
          <w:lang w:val="en-US" w:bidi="he-IL"/>
        </w:rPr>
        <w:t>The only-begotten Son of God, wishing to make us sharers in his divine nature, assumed our nature, so that made man he might make men gods” (</w:t>
      </w:r>
      <w:r w:rsidRPr="002D7706">
        <w:rPr>
          <w:rFonts w:asciiTheme="minorHAnsi" w:hAnsiTheme="minorHAnsi" w:cstheme="minorHAnsi"/>
          <w:i/>
          <w:iCs/>
          <w:lang w:val="en-US" w:bidi="he-IL"/>
        </w:rPr>
        <w:t>Opuscula</w:t>
      </w:r>
      <w:r w:rsidRPr="002D7706">
        <w:rPr>
          <w:rFonts w:asciiTheme="minorHAnsi" w:hAnsiTheme="minorHAnsi" w:cstheme="minorHAnsi"/>
          <w:lang w:val="en-US" w:bidi="he-IL"/>
        </w:rPr>
        <w:t>, 57).</w:t>
      </w:r>
      <w:r w:rsidRPr="00212ED7">
        <w:rPr>
          <w:rStyle w:val="FootnoteReference"/>
          <w:rFonts w:asciiTheme="minorHAnsi" w:hAnsiTheme="minorHAnsi" w:cstheme="minorHAnsi"/>
          <w:lang w:val="en-US" w:bidi="he-IL"/>
        </w:rPr>
        <w:footnoteReference w:id="84"/>
      </w:r>
      <w:r w:rsidRPr="002D7706">
        <w:rPr>
          <w:rFonts w:asciiTheme="minorHAnsi" w:hAnsiTheme="minorHAnsi" w:cstheme="minorHAnsi"/>
          <w:lang w:val="en-US" w:bidi="he-IL"/>
        </w:rPr>
        <w:t xml:space="preserve"> In another place the Angelic Doctor writes,   </w:t>
      </w:r>
    </w:p>
    <w:p w:rsidR="0027038D" w:rsidRPr="002D7706" w:rsidRDefault="0027038D" w:rsidP="0027038D">
      <w:pPr>
        <w:rPr>
          <w:rFonts w:asciiTheme="minorHAnsi" w:hAnsiTheme="minorHAnsi" w:cstheme="minorHAnsi"/>
          <w:lang w:val="en-US" w:bidi="he-IL"/>
        </w:rPr>
      </w:pPr>
    </w:p>
    <w:p w:rsidR="0027038D" w:rsidRPr="002D7706" w:rsidRDefault="0027038D" w:rsidP="0027038D">
      <w:pPr>
        <w:ind w:left="720"/>
        <w:rPr>
          <w:rFonts w:asciiTheme="minorHAnsi" w:hAnsiTheme="minorHAnsi" w:cstheme="minorHAnsi"/>
          <w:lang w:val="en-US" w:bidi="he-IL"/>
        </w:rPr>
      </w:pPr>
      <w:r w:rsidRPr="002D7706">
        <w:rPr>
          <w:rFonts w:asciiTheme="minorHAnsi" w:hAnsiTheme="minorHAnsi" w:cstheme="minorHAnsi"/>
          <w:lang w:val="en-US" w:bidi="he-IL"/>
        </w:rPr>
        <w:t>For the human mind and will could never imagine, understand or ask that God became man, and that man became God and a sharer in the divine nature. But he has done this in us by his power, and it was accomplished in the Incarnation of his Son” (</w:t>
      </w:r>
      <w:r w:rsidRPr="002D7706">
        <w:rPr>
          <w:rFonts w:asciiTheme="minorHAnsi" w:hAnsiTheme="minorHAnsi" w:cstheme="minorHAnsi"/>
          <w:i/>
          <w:iCs/>
          <w:lang w:val="en-US" w:bidi="he-IL"/>
        </w:rPr>
        <w:t>Commentary on Eph. 3:19</w:t>
      </w:r>
      <w:r w:rsidRPr="002D7706">
        <w:rPr>
          <w:rFonts w:asciiTheme="minorHAnsi" w:hAnsiTheme="minorHAnsi" w:cstheme="minorHAnsi"/>
          <w:lang w:val="en-US" w:bidi="he-IL"/>
        </w:rPr>
        <w:t>).</w:t>
      </w:r>
      <w:r w:rsidRPr="00212ED7">
        <w:rPr>
          <w:rStyle w:val="FootnoteReference"/>
          <w:rFonts w:asciiTheme="minorHAnsi" w:eastAsia="MS Mincho" w:hAnsiTheme="minorHAnsi" w:cstheme="minorHAnsi"/>
          <w:lang w:eastAsia="ja-JP"/>
        </w:rPr>
        <w:footnoteReference w:id="85"/>
      </w:r>
    </w:p>
    <w:p w:rsidR="0027038D" w:rsidRPr="002D7706" w:rsidRDefault="0027038D" w:rsidP="0027038D">
      <w:pPr>
        <w:ind w:left="720"/>
        <w:rPr>
          <w:rFonts w:asciiTheme="minorHAnsi" w:hAnsiTheme="minorHAnsi" w:cstheme="minorHAnsi"/>
          <w:lang w:val="en-US" w:bidi="he-IL"/>
        </w:rPr>
      </w:pP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 xml:space="preserve">References to theosis, or conceptions similar to it, persist among modern Catholic writers as well. We may cite </w:t>
      </w:r>
      <w:r w:rsidRPr="002D7706">
        <w:rPr>
          <w:rFonts w:asciiTheme="minorHAnsi" w:hAnsiTheme="minorHAnsi" w:cstheme="minorHAnsi"/>
          <w:lang w:val="en-US"/>
        </w:rPr>
        <w:t>Matthias Scheeben, Jean Dani</w:t>
      </w:r>
      <w:r w:rsidRPr="002D7706">
        <w:rPr>
          <w:rFonts w:asciiTheme="minorHAnsi" w:eastAsia="MS Mincho" w:hAnsiTheme="minorHAnsi" w:cstheme="minorHAnsi"/>
          <w:lang w:val="en-US" w:eastAsia="ja-JP"/>
        </w:rPr>
        <w:t>é</w:t>
      </w:r>
      <w:r w:rsidRPr="002D7706">
        <w:rPr>
          <w:rFonts w:asciiTheme="minorHAnsi" w:hAnsiTheme="minorHAnsi" w:cstheme="minorHAnsi"/>
          <w:lang w:val="en-US"/>
        </w:rPr>
        <w:t>lou, Teilhard de Chardin, Emile Mersch</w:t>
      </w:r>
      <w:r>
        <w:rPr>
          <w:rFonts w:asciiTheme="minorHAnsi" w:hAnsiTheme="minorHAnsi" w:cstheme="minorHAnsi"/>
          <w:lang w:val="en-US"/>
        </w:rPr>
        <w:t>,</w:t>
      </w:r>
      <w:r w:rsidRPr="002D7706">
        <w:rPr>
          <w:rFonts w:asciiTheme="minorHAnsi" w:hAnsiTheme="minorHAnsi" w:cstheme="minorHAnsi"/>
          <w:lang w:val="en-US"/>
        </w:rPr>
        <w:t xml:space="preserve"> and </w:t>
      </w:r>
      <w:r w:rsidRPr="002D7706">
        <w:rPr>
          <w:rFonts w:asciiTheme="minorHAnsi" w:hAnsiTheme="minorHAnsi" w:cstheme="minorHAnsi"/>
          <w:lang w:val="en-US" w:bidi="he-IL"/>
        </w:rPr>
        <w:t>Karl Rahner in particular</w:t>
      </w:r>
      <w:r w:rsidRPr="002D7706">
        <w:rPr>
          <w:rFonts w:asciiTheme="minorHAnsi" w:hAnsiTheme="minorHAnsi" w:cstheme="minorHAnsi"/>
          <w:lang w:val="en-US"/>
        </w:rPr>
        <w:t>.</w:t>
      </w:r>
      <w:r w:rsidRPr="00212ED7">
        <w:rPr>
          <w:rStyle w:val="FootnoteReference"/>
          <w:rFonts w:asciiTheme="minorHAnsi" w:hAnsiTheme="minorHAnsi" w:cstheme="minorHAnsi"/>
          <w:lang w:bidi="he-IL"/>
        </w:rPr>
        <w:footnoteReference w:id="86"/>
      </w:r>
      <w:r w:rsidRPr="002D7706">
        <w:rPr>
          <w:rFonts w:asciiTheme="minorHAnsi" w:hAnsiTheme="minorHAnsi" w:cstheme="minorHAnsi"/>
          <w:lang w:val="en-US"/>
        </w:rPr>
        <w:t xml:space="preserve"> The Catechism of the Roman Catholic Church unequivocally affirms it:  </w:t>
      </w:r>
    </w:p>
    <w:p w:rsidR="0027038D" w:rsidRPr="002D7706" w:rsidRDefault="0027038D" w:rsidP="0027038D">
      <w:pPr>
        <w:autoSpaceDE w:val="0"/>
        <w:autoSpaceDN w:val="0"/>
        <w:adjustRightInd w:val="0"/>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Style w:val="text"/>
          <w:rFonts w:asciiTheme="minorHAnsi" w:eastAsiaTheme="majorEastAsia" w:hAnsiTheme="minorHAnsi" w:cstheme="minorHAnsi"/>
          <w:lang w:val="en-US"/>
        </w:rPr>
        <w:t>The Word became flesh to make us “</w:t>
      </w:r>
      <w:r w:rsidRPr="002D7706">
        <w:rPr>
          <w:rStyle w:val="text"/>
          <w:rFonts w:asciiTheme="minorHAnsi" w:eastAsiaTheme="majorEastAsia" w:hAnsiTheme="minorHAnsi" w:cstheme="minorHAnsi"/>
          <w:i/>
          <w:iCs/>
          <w:lang w:val="en-US"/>
        </w:rPr>
        <w:t>partakers of the divine nature</w:t>
      </w:r>
      <w:r w:rsidRPr="002D7706">
        <w:rPr>
          <w:rStyle w:val="text"/>
          <w:rFonts w:asciiTheme="minorHAnsi" w:eastAsiaTheme="majorEastAsia" w:hAnsiTheme="minorHAnsi" w:cstheme="minorHAnsi"/>
          <w:lang w:val="en-US"/>
        </w:rPr>
        <w:t xml:space="preserve">”: “For this is why the Word became man, and the Son of God became the Son of man: so that man, by entering into communion with the Word and thus receiving divine sonship, might become a son of God.” “For the Son of God became man so that we might become God.” “The only-begotten Son of God, wanting to make us sharers in his divinity, assumed our nature, so that he, made man, might make men gods.” </w:t>
      </w:r>
      <w:r w:rsidRPr="002D7706">
        <w:rPr>
          <w:rFonts w:asciiTheme="minorHAnsi" w:eastAsia="MS Mincho" w:hAnsiTheme="minorHAnsi" w:cstheme="minorHAnsi"/>
          <w:lang w:val="en-US" w:eastAsia="ja-JP"/>
        </w:rPr>
        <w:t>(№ 460).</w:t>
      </w:r>
    </w:p>
    <w:p w:rsidR="0027038D" w:rsidRPr="002D7706" w:rsidRDefault="0027038D" w:rsidP="0027038D">
      <w:pPr>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As me</w:t>
      </w:r>
      <w:r>
        <w:rPr>
          <w:rFonts w:asciiTheme="minorHAnsi" w:hAnsiTheme="minorHAnsi" w:cstheme="minorHAnsi"/>
          <w:lang w:val="en-US"/>
        </w:rPr>
        <w:t>ntioned above, Luther also made mention of theosis. He did</w:t>
      </w:r>
      <w:r w:rsidRPr="002D7706">
        <w:rPr>
          <w:rFonts w:asciiTheme="minorHAnsi" w:hAnsiTheme="minorHAnsi" w:cstheme="minorHAnsi"/>
          <w:lang w:val="en-US"/>
        </w:rPr>
        <w:t xml:space="preserve"> so in at least two of his sermons, one preached before his “awakening,” and the other not long after. </w:t>
      </w:r>
    </w:p>
    <w:p w:rsidR="0027038D" w:rsidRPr="002D7706" w:rsidRDefault="0027038D" w:rsidP="0027038D">
      <w:pPr>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Fonts w:asciiTheme="minorHAnsi" w:hAnsiTheme="minorHAnsi" w:cstheme="minorHAnsi"/>
          <w:lang w:val="en-US"/>
        </w:rPr>
        <w:t>Just as the Word of God became flesh, so it is certainly also necessary that the flesh become Word. For the Word becomes flesh precisely so t</w:t>
      </w:r>
      <w:r>
        <w:rPr>
          <w:rFonts w:asciiTheme="minorHAnsi" w:hAnsiTheme="minorHAnsi" w:cstheme="minorHAnsi"/>
          <w:lang w:val="en-US"/>
        </w:rPr>
        <w:t xml:space="preserve">hat the flesh may become Word. </w:t>
      </w:r>
      <w:r w:rsidRPr="002D7706">
        <w:rPr>
          <w:rFonts w:asciiTheme="minorHAnsi" w:hAnsiTheme="minorHAnsi" w:cstheme="minorHAnsi"/>
          <w:lang w:val="en-US"/>
        </w:rPr>
        <w:t>In other words, God becomes man so that man may become God. Thus, power becomes powerless so that weakness may become powerful. The Logos puts on our form and manner (</w:t>
      </w:r>
      <w:r w:rsidRPr="002D7706">
        <w:rPr>
          <w:rFonts w:asciiTheme="minorHAnsi" w:hAnsiTheme="minorHAnsi" w:cstheme="minorHAnsi"/>
          <w:i/>
          <w:iCs/>
          <w:lang w:val="en-US"/>
        </w:rPr>
        <w:t>Christmas sermon</w:t>
      </w:r>
      <w:r w:rsidRPr="002D7706">
        <w:rPr>
          <w:rFonts w:asciiTheme="minorHAnsi" w:hAnsiTheme="minorHAnsi" w:cstheme="minorHAnsi"/>
          <w:lang w:val="en-US"/>
        </w:rPr>
        <w:t>, 1514).</w:t>
      </w:r>
      <w:r w:rsidRPr="00212ED7">
        <w:rPr>
          <w:rStyle w:val="FootnoteReference"/>
          <w:rFonts w:asciiTheme="minorHAnsi" w:eastAsia="MS Mincho" w:hAnsiTheme="minorHAnsi" w:cstheme="minorHAnsi"/>
          <w:lang w:eastAsia="ja-JP"/>
        </w:rPr>
        <w:footnoteReference w:id="87"/>
      </w:r>
      <w:r w:rsidRPr="002D7706">
        <w:rPr>
          <w:rFonts w:asciiTheme="minorHAnsi" w:hAnsiTheme="minorHAnsi" w:cstheme="minorHAnsi"/>
          <w:lang w:val="en-US"/>
        </w:rPr>
        <w:t xml:space="preserve"> </w:t>
      </w:r>
    </w:p>
    <w:p w:rsidR="0027038D" w:rsidRPr="002D7706" w:rsidRDefault="0027038D" w:rsidP="0027038D">
      <w:pPr>
        <w:ind w:left="720"/>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Fonts w:asciiTheme="minorHAnsi" w:hAnsiTheme="minorHAnsi" w:cstheme="minorHAnsi"/>
          <w:lang w:val="en-US"/>
        </w:rPr>
        <w:t>For it is true that a man helped by grace is more than a man; indeed, the grace of God gives him the form of God and deifies him, so that even the Scriptures call him “God” and “God's son” (</w:t>
      </w:r>
      <w:r w:rsidRPr="002D7706">
        <w:rPr>
          <w:rFonts w:asciiTheme="minorHAnsi" w:hAnsiTheme="minorHAnsi" w:cstheme="minorHAnsi"/>
          <w:i/>
          <w:iCs/>
          <w:lang w:val="en-US"/>
        </w:rPr>
        <w:t>Sermon on the Day of St. Peter and St. Paul</w:t>
      </w:r>
      <w:r w:rsidRPr="002D7706">
        <w:rPr>
          <w:rFonts w:asciiTheme="minorHAnsi" w:hAnsiTheme="minorHAnsi" w:cstheme="minorHAnsi"/>
          <w:lang w:val="en-US"/>
        </w:rPr>
        <w:t>, 1519).</w:t>
      </w:r>
      <w:r w:rsidRPr="00212ED7">
        <w:rPr>
          <w:rStyle w:val="FootnoteReference"/>
          <w:rFonts w:asciiTheme="minorHAnsi" w:hAnsiTheme="minorHAnsi" w:cstheme="minorHAnsi"/>
          <w:lang w:val="en-US"/>
        </w:rPr>
        <w:footnoteReference w:id="88"/>
      </w:r>
    </w:p>
    <w:p w:rsidR="0027038D" w:rsidRPr="002D7706" w:rsidRDefault="0027038D" w:rsidP="0027038D">
      <w:pPr>
        <w:ind w:left="720"/>
        <w:rPr>
          <w:rFonts w:asciiTheme="minorHAnsi" w:hAnsiTheme="minorHAnsi" w:cstheme="minorHAnsi"/>
          <w:lang w:val="en-US"/>
        </w:rPr>
      </w:pPr>
    </w:p>
    <w:p w:rsidR="0027038D" w:rsidRPr="002D7706" w:rsidRDefault="0027038D" w:rsidP="0027038D">
      <w:pPr>
        <w:ind w:firstLine="450"/>
        <w:rPr>
          <w:rFonts w:asciiTheme="minorHAnsi" w:eastAsia="MS Mincho" w:hAnsiTheme="minorHAnsi" w:cstheme="minorHAnsi"/>
          <w:lang w:val="en-US" w:eastAsia="ja-JP"/>
        </w:rPr>
      </w:pPr>
      <w:r w:rsidRPr="002D7706">
        <w:rPr>
          <w:rFonts w:asciiTheme="minorHAnsi" w:eastAsia="MS Mincho" w:hAnsiTheme="minorHAnsi" w:cstheme="minorHAnsi"/>
          <w:lang w:val="en-US" w:eastAsia="ja-JP"/>
        </w:rPr>
        <w:t>What did Calvin think of theosis? On the one hand, we see elements of theosis in his theology, namely the distinction between God’s essence and His energies: “</w:t>
      </w:r>
      <w:r w:rsidRPr="002D7706">
        <w:rPr>
          <w:rFonts w:asciiTheme="minorHAnsi" w:hAnsiTheme="minorHAnsi" w:cstheme="minorHAnsi"/>
          <w:lang w:val="en-US"/>
        </w:rPr>
        <w:t>We know God not in his essence, but according to his works; God's being is incomprehensible, but his energies are revealed to creatures analogically” (</w:t>
      </w:r>
      <w:r w:rsidRPr="002D7706">
        <w:rPr>
          <w:rFonts w:asciiTheme="minorHAnsi" w:hAnsiTheme="minorHAnsi" w:cstheme="minorHAnsi"/>
          <w:i/>
          <w:iCs/>
          <w:lang w:val="en-US"/>
        </w:rPr>
        <w:t>Commentary on Paul's Epistle to the Romans</w:t>
      </w:r>
      <w:r w:rsidRPr="002D7706">
        <w:rPr>
          <w:rFonts w:asciiTheme="minorHAnsi" w:hAnsiTheme="minorHAnsi" w:cstheme="minorHAnsi"/>
          <w:lang w:val="en-US"/>
        </w:rPr>
        <w:t>, 1.19).</w:t>
      </w:r>
      <w:r w:rsidRPr="00212ED7">
        <w:rPr>
          <w:rStyle w:val="FootnoteReference"/>
          <w:rFonts w:asciiTheme="minorHAnsi" w:eastAsia="MS Mincho" w:hAnsiTheme="minorHAnsi" w:cstheme="minorHAnsi"/>
          <w:lang w:eastAsia="ja-JP"/>
        </w:rPr>
        <w:footnoteReference w:id="89"/>
      </w:r>
      <w:r w:rsidRPr="002D7706">
        <w:rPr>
          <w:rFonts w:asciiTheme="minorHAnsi" w:hAnsiTheme="minorHAnsi" w:cstheme="minorHAnsi"/>
          <w:lang w:val="en-US"/>
        </w:rPr>
        <w:t xml:space="preserve"> On the other hand, he falls short of fully affirming theosis, making the following qualification: “We shall be partakers of divine and blessed immortality and glory, so as to be as it were one with God as far as our capacities will allow” (</w:t>
      </w:r>
      <w:r w:rsidRPr="002D7706">
        <w:rPr>
          <w:rFonts w:asciiTheme="minorHAnsi" w:hAnsiTheme="minorHAnsi" w:cstheme="minorHAnsi"/>
          <w:i/>
          <w:iCs/>
          <w:lang w:val="en-US"/>
        </w:rPr>
        <w:t>Commentaries on the Catholic Epistles</w:t>
      </w:r>
      <w:r w:rsidRPr="002D7706">
        <w:rPr>
          <w:rFonts w:asciiTheme="minorHAnsi" w:hAnsiTheme="minorHAnsi" w:cstheme="minorHAnsi"/>
          <w:lang w:val="en-US"/>
        </w:rPr>
        <w:t>).</w:t>
      </w:r>
      <w:r w:rsidRPr="00212ED7">
        <w:rPr>
          <w:rStyle w:val="FootnoteReference"/>
          <w:rFonts w:asciiTheme="minorHAnsi" w:hAnsiTheme="minorHAnsi" w:cstheme="minorHAnsi"/>
          <w:lang w:val="en-US"/>
        </w:rPr>
        <w:footnoteReference w:id="90"/>
      </w:r>
      <w:r w:rsidRPr="002D7706">
        <w:rPr>
          <w:rFonts w:asciiTheme="minorHAnsi" w:hAnsiTheme="minorHAnsi" w:cstheme="minorHAnsi"/>
          <w:lang w:val="en-US"/>
        </w:rPr>
        <w:t xml:space="preserve"> </w:t>
      </w:r>
    </w:p>
    <w:p w:rsidR="0027038D" w:rsidRPr="002D7706" w:rsidRDefault="0027038D" w:rsidP="0027038D">
      <w:pPr>
        <w:ind w:firstLine="360"/>
        <w:rPr>
          <w:rFonts w:asciiTheme="minorHAnsi" w:eastAsia="MS Mincho" w:hAnsiTheme="minorHAnsi" w:cstheme="minorHAnsi"/>
          <w:lang w:val="en-US" w:eastAsia="ja-JP"/>
        </w:rPr>
      </w:pPr>
    </w:p>
    <w:p w:rsidR="0027038D" w:rsidRPr="002D7706" w:rsidRDefault="0027038D" w:rsidP="0027038D">
      <w:pPr>
        <w:pStyle w:val="Heading3"/>
        <w:rPr>
          <w:rFonts w:cstheme="minorHAnsi"/>
          <w:lang w:val="en-US"/>
        </w:rPr>
      </w:pPr>
      <w:r w:rsidRPr="002D7706">
        <w:rPr>
          <w:rFonts w:cstheme="minorHAnsi"/>
          <w:lang w:val="en-US"/>
        </w:rPr>
        <w:t xml:space="preserve">F. Prehistory of Theosis </w:t>
      </w:r>
    </w:p>
    <w:p w:rsidR="0027038D" w:rsidRPr="002D7706" w:rsidRDefault="0027038D" w:rsidP="0027038D">
      <w:pPr>
        <w:rPr>
          <w:rFonts w:asciiTheme="minorHAnsi" w:hAnsiTheme="minorHAnsi" w:cstheme="minorHAnsi"/>
          <w:u w:val="single"/>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Based on the above survey, the longevity and the pervasiveness of the doctrine of theosis, at least in the Eastern Church, cannot be challenged. Yet</w:t>
      </w:r>
      <w:r>
        <w:rPr>
          <w:rFonts w:asciiTheme="minorHAnsi" w:hAnsiTheme="minorHAnsi" w:cstheme="minorHAnsi"/>
          <w:lang w:val="en-US"/>
        </w:rPr>
        <w:t>,</w:t>
      </w:r>
      <w:r w:rsidRPr="002D7706">
        <w:rPr>
          <w:rFonts w:asciiTheme="minorHAnsi" w:hAnsiTheme="minorHAnsi" w:cstheme="minorHAnsi"/>
          <w:lang w:val="en-US"/>
        </w:rPr>
        <w:t xml:space="preserve"> a glance into the prehistory of this teaching, that is, what likely led to its acceptance among the Eastern Fathers, is very revealing.</w:t>
      </w:r>
      <w:r w:rsidRPr="00212ED7">
        <w:rPr>
          <w:rStyle w:val="FootnoteReference"/>
          <w:rFonts w:asciiTheme="minorHAnsi" w:hAnsiTheme="minorHAnsi" w:cstheme="minorHAnsi"/>
        </w:rPr>
        <w:footnoteReference w:id="91"/>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In early Greek thought, elevation to Deity was a prime pursuit. Gross comments, “Throughout all of Hellenism one encounters, under the most divers forms, the idea that the supreme human happiness consists in a certain assimilation to divinity.”</w:t>
      </w:r>
      <w:r w:rsidRPr="00212ED7">
        <w:rPr>
          <w:rStyle w:val="FootnoteReference"/>
          <w:rFonts w:asciiTheme="minorHAnsi" w:hAnsiTheme="minorHAnsi" w:cstheme="minorHAnsi"/>
          <w:lang w:val="en-US"/>
        </w:rPr>
        <w:footnoteReference w:id="92"/>
      </w:r>
      <w:r w:rsidRPr="002D7706">
        <w:rPr>
          <w:rFonts w:asciiTheme="minorHAnsi" w:hAnsiTheme="minorHAnsi" w:cstheme="minorHAnsi"/>
          <w:lang w:val="en-US"/>
        </w:rPr>
        <w:t xml:space="preserve"> Greek mythology tells of “heroes,” who receive</w:t>
      </w:r>
      <w:r>
        <w:rPr>
          <w:rFonts w:asciiTheme="minorHAnsi" w:hAnsiTheme="minorHAnsi" w:cstheme="minorHAnsi"/>
          <w:lang w:val="en-US"/>
        </w:rPr>
        <w:t>d</w:t>
      </w:r>
      <w:r w:rsidRPr="002D7706">
        <w:rPr>
          <w:rFonts w:asciiTheme="minorHAnsi" w:hAnsiTheme="minorHAnsi" w:cstheme="minorHAnsi"/>
          <w:lang w:val="en-US"/>
        </w:rPr>
        <w:t xml:space="preserve"> a superhuman status. Gross again comments, “Deification is increasingly understood as a reward granted for exceptional merits. And that is how it tends to take on a moral character.”</w:t>
      </w:r>
      <w:r w:rsidRPr="00212ED7">
        <w:rPr>
          <w:rStyle w:val="FootnoteReference"/>
          <w:rFonts w:asciiTheme="minorHAnsi" w:hAnsiTheme="minorHAnsi" w:cstheme="minorHAnsi"/>
          <w:lang w:val="en-US"/>
        </w:rPr>
        <w:footnoteReference w:id="93"/>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The Greek mystery religions offered the same hope of deification.</w:t>
      </w:r>
      <w:r w:rsidRPr="00212ED7">
        <w:rPr>
          <w:rStyle w:val="FootnoteReference"/>
          <w:rFonts w:asciiTheme="minorHAnsi" w:hAnsiTheme="minorHAnsi" w:cstheme="minorHAnsi"/>
          <w:lang w:val="en-US"/>
        </w:rPr>
        <w:footnoteReference w:id="94"/>
      </w:r>
      <w:r w:rsidRPr="002D7706">
        <w:rPr>
          <w:rFonts w:asciiTheme="minorHAnsi" w:hAnsiTheme="minorHAnsi" w:cstheme="minorHAnsi"/>
          <w:lang w:val="en-US"/>
        </w:rPr>
        <w:t xml:space="preserve"> The Dionysian Mysteries promised mystical ecstasy and union with God. The Orphic Mysteries strove for the restoration of the original divine nature of the soul. In the Cybele-Attis mystery, deification is attainable through imitating the death and resurrection of Attis. In Hermetism the ultimate destiny of humans is absorption into God.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Although Greek philosophy rejected this mythological worldview, the goal of deification remained intact. According to Franks,</w:t>
      </w:r>
    </w:p>
    <w:p w:rsidR="0027038D" w:rsidRPr="002D7706" w:rsidRDefault="0027038D" w:rsidP="0027038D">
      <w:pPr>
        <w:ind w:firstLine="360"/>
        <w:rPr>
          <w:rFonts w:asciiTheme="minorHAnsi" w:hAnsiTheme="minorHAnsi" w:cstheme="minorHAnsi"/>
          <w:lang w:val="en-US"/>
        </w:rPr>
      </w:pPr>
    </w:p>
    <w:p w:rsidR="0027038D" w:rsidRPr="002D7706" w:rsidRDefault="0027038D" w:rsidP="0027038D">
      <w:pPr>
        <w:ind w:left="720"/>
        <w:rPr>
          <w:rFonts w:asciiTheme="minorHAnsi" w:hAnsiTheme="minorHAnsi" w:cstheme="minorHAnsi"/>
          <w:b/>
          <w:bCs/>
          <w:lang w:val="en-US"/>
        </w:rPr>
      </w:pPr>
      <w:r w:rsidRPr="002D7706">
        <w:rPr>
          <w:rFonts w:asciiTheme="minorHAnsi" w:hAnsiTheme="minorHAnsi" w:cstheme="minorHAnsi"/>
          <w:lang w:val="en-US" w:bidi="he-IL"/>
        </w:rPr>
        <w:t>Due to the influence of Greek religious thought also is the identification of the communication of immortality with ‘deification’. In the history of Greek religion, the idea of deification as union with the God and the impartation of immortality goes back to the religion of Dionysus. Through the medium of Orphism it afterward influenced Greek philosophy.</w:t>
      </w:r>
      <w:r w:rsidRPr="00212ED7">
        <w:rPr>
          <w:rStyle w:val="FootnoteReference"/>
          <w:rFonts w:asciiTheme="minorHAnsi" w:hAnsiTheme="minorHAnsi" w:cstheme="minorHAnsi"/>
        </w:rPr>
        <w:footnoteReference w:id="95"/>
      </w:r>
      <w:r w:rsidRPr="002D7706">
        <w:rPr>
          <w:rFonts w:asciiTheme="minorHAnsi" w:hAnsiTheme="minorHAnsi" w:cstheme="minorHAnsi"/>
          <w:lang w:val="en-US" w:bidi="he-IL"/>
        </w:rPr>
        <w:t xml:space="preserve">  </w:t>
      </w:r>
    </w:p>
    <w:p w:rsidR="0027038D" w:rsidRPr="002D7706" w:rsidRDefault="0027038D" w:rsidP="0027038D">
      <w:pPr>
        <w:ind w:firstLine="426"/>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Platonic philosophy, for example, posited deification in connection with emancipation from the material world.</w:t>
      </w:r>
      <w:r w:rsidRPr="00212ED7">
        <w:rPr>
          <w:rStyle w:val="FootnoteReference"/>
          <w:rFonts w:asciiTheme="minorHAnsi" w:hAnsiTheme="minorHAnsi" w:cstheme="minorHAnsi"/>
          <w:lang w:val="en-US"/>
        </w:rPr>
        <w:footnoteReference w:id="96"/>
      </w:r>
      <w:r w:rsidRPr="002D7706">
        <w:rPr>
          <w:rFonts w:asciiTheme="minorHAnsi" w:hAnsiTheme="minorHAnsi" w:cstheme="minorHAnsi"/>
          <w:lang w:val="en-US"/>
        </w:rPr>
        <w:t xml:space="preserve"> According to Gross, this liberation “divinizes the soul in the sense that it releases it from any obscuring and restores to its original state the divine element which is in it.”</w:t>
      </w:r>
      <w:r w:rsidRPr="00212ED7">
        <w:rPr>
          <w:rStyle w:val="FootnoteReference"/>
          <w:rFonts w:asciiTheme="minorHAnsi" w:hAnsiTheme="minorHAnsi" w:cstheme="minorHAnsi"/>
          <w:lang w:val="en-US"/>
        </w:rPr>
        <w:footnoteReference w:id="97"/>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A glance at the Hellenistic philosophy of Philo of Alexandria</w:t>
      </w:r>
      <w:r>
        <w:rPr>
          <w:rFonts w:asciiTheme="minorHAnsi" w:hAnsiTheme="minorHAnsi" w:cstheme="minorHAnsi"/>
          <w:lang w:val="en-US"/>
        </w:rPr>
        <w:t xml:space="preserve"> will be especially revealing. </w:t>
      </w:r>
      <w:r w:rsidRPr="002D7706">
        <w:rPr>
          <w:rFonts w:asciiTheme="minorHAnsi" w:hAnsiTheme="minorHAnsi" w:cstheme="minorHAnsi"/>
          <w:lang w:val="en-US"/>
        </w:rPr>
        <w:t>Philo promoted the idea of an “ascent” to God through the mediation of the Logos. This ascent is accomplish by the combination of mystical contemplation of the Logos and moral living, resulting in a mystical union with the Logos.</w:t>
      </w:r>
      <w:r w:rsidRPr="00212ED7">
        <w:rPr>
          <w:rStyle w:val="FootnoteReference"/>
          <w:rFonts w:asciiTheme="minorHAnsi" w:hAnsiTheme="minorHAnsi" w:cstheme="minorHAnsi"/>
          <w:lang w:val="en-US"/>
        </w:rPr>
        <w:footnoteReference w:id="98"/>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Alexandria was also the birthplace of a variant of platonic philosophy named Neoplatonism, founded by Ammonius Saccas, but popularized by Plotinus (3</w:t>
      </w:r>
      <w:r>
        <w:rPr>
          <w:rFonts w:asciiTheme="minorHAnsi" w:hAnsiTheme="minorHAnsi" w:cstheme="minorHAnsi"/>
          <w:lang w:val="en-US"/>
        </w:rPr>
        <w:t>rd</w:t>
      </w:r>
      <w:r w:rsidRPr="002D7706">
        <w:rPr>
          <w:rFonts w:asciiTheme="minorHAnsi" w:hAnsiTheme="minorHAnsi" w:cstheme="minorHAnsi"/>
          <w:lang w:val="en-US"/>
        </w:rPr>
        <w:t xml:space="preserve"> c.). The cosmology of Neoplatonism posits a unifying center, the “One,” and three emanations emitting from it: Nous (Mind), World Soul and the material world. The goal of humanity is to “ascend” through the intermediate emanations and experience union with the One. This union is attained through asceticism, mystical contemplation, and moral living.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 xml:space="preserve">One can immediately note similarities in Neoplatonism not only with Philonic philosophy, but also with the patristic understanding of Christian deification. Highly significant is the fact that Christian deification received its greatest impulse from Alexandrian Fathers: Origen and Athanasius. Alexandria of the early Christian centuries was saturated with Neoplatonic thought.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rPr>
        <w:t xml:space="preserve">Other writers, not only </w:t>
      </w:r>
      <w:r>
        <w:rPr>
          <w:rFonts w:asciiTheme="minorHAnsi" w:hAnsiTheme="minorHAnsi" w:cstheme="minorHAnsi"/>
          <w:lang w:val="en-US"/>
        </w:rPr>
        <w:t>E</w:t>
      </w:r>
      <w:r w:rsidRPr="002D7706">
        <w:rPr>
          <w:rFonts w:asciiTheme="minorHAnsi" w:hAnsiTheme="minorHAnsi" w:cstheme="minorHAnsi"/>
          <w:lang w:val="en-US"/>
        </w:rPr>
        <w:t>vangelical, but also secular and Russian Orthodox, note the influence of Greek philosophy on the Eastern Fathers. Bray claims that the majority of the leading theologians of the classical period of the development of Christi</w:t>
      </w:r>
      <w:r>
        <w:rPr>
          <w:rFonts w:asciiTheme="minorHAnsi" w:hAnsiTheme="minorHAnsi" w:cstheme="minorHAnsi"/>
          <w:lang w:val="en-US"/>
        </w:rPr>
        <w:t>an dogma received a Neoplatonic</w:t>
      </w:r>
      <w:r w:rsidRPr="002D7706">
        <w:rPr>
          <w:rFonts w:asciiTheme="minorHAnsi" w:hAnsiTheme="minorHAnsi" w:cstheme="minorHAnsi"/>
          <w:lang w:val="en-US"/>
        </w:rPr>
        <w:t xml:space="preserve"> education.</w:t>
      </w:r>
      <w:r w:rsidRPr="00212ED7">
        <w:rPr>
          <w:rStyle w:val="FootnoteReference"/>
          <w:rFonts w:asciiTheme="minorHAnsi" w:hAnsiTheme="minorHAnsi" w:cstheme="minorHAnsi"/>
        </w:rPr>
        <w:footnoteReference w:id="99"/>
      </w:r>
      <w:r w:rsidRPr="002D7706">
        <w:rPr>
          <w:rFonts w:asciiTheme="minorHAnsi" w:hAnsiTheme="minorHAnsi" w:cstheme="minorHAnsi"/>
          <w:lang w:val="en-US"/>
        </w:rPr>
        <w:t xml:space="preserve"> Russian Orthodox theologian Andrei Kuraev confirms that “Saint Basil the Great and Saint Gregory </w:t>
      </w:r>
      <w:r w:rsidRPr="002D7706">
        <w:rPr>
          <w:rFonts w:asciiTheme="minorHAnsi" w:hAnsiTheme="minorHAnsi" w:cstheme="minorHAnsi"/>
          <w:lang w:val="en-US" w:bidi="he-IL"/>
        </w:rPr>
        <w:t>of Nazianzus were able to complete studies at the university at Athens (still pagan) before its closing and were able to advise their disciples to accept into their Christian walk the great pagan authors.”</w:t>
      </w:r>
      <w:r w:rsidRPr="00212ED7">
        <w:rPr>
          <w:rStyle w:val="FootnoteReference"/>
          <w:rFonts w:asciiTheme="minorHAnsi" w:hAnsiTheme="minorHAnsi" w:cstheme="minorHAnsi"/>
        </w:rPr>
        <w:footnoteReference w:id="100"/>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
        </w:rPr>
      </w:pPr>
      <w:r w:rsidRPr="002D7706">
        <w:rPr>
          <w:rFonts w:asciiTheme="minorHAnsi" w:hAnsiTheme="minorHAnsi" w:cstheme="minorHAnsi"/>
          <w:lang w:val="en-US" w:bidi="he-IL"/>
        </w:rPr>
        <w:t>Concerning the Neoplatonic atmosphere prevailing in Alexandria, Copleston comments, “Neo-Platonism exercised a profound influence on Christian thinkers at Alexandria.”</w:t>
      </w:r>
      <w:r w:rsidRPr="00212ED7">
        <w:rPr>
          <w:rStyle w:val="FootnoteReference"/>
          <w:rFonts w:asciiTheme="minorHAnsi" w:hAnsiTheme="minorHAnsi" w:cstheme="minorHAnsi"/>
        </w:rPr>
        <w:footnoteReference w:id="101"/>
      </w:r>
      <w:r w:rsidRPr="002D7706">
        <w:rPr>
          <w:rFonts w:asciiTheme="minorHAnsi" w:hAnsiTheme="minorHAnsi" w:cstheme="minorHAnsi"/>
          <w:lang w:val="en-US" w:bidi="he-IL"/>
        </w:rPr>
        <w:t xml:space="preserve"> The Historian </w:t>
      </w:r>
      <w:r w:rsidRPr="002D7706">
        <w:rPr>
          <w:rFonts w:asciiTheme="minorHAnsi" w:hAnsiTheme="minorHAnsi" w:cstheme="minorHAnsi"/>
          <w:lang w:val="en-US"/>
        </w:rPr>
        <w:t>Sahakian claims that Origen</w:t>
      </w:r>
      <w:r w:rsidRPr="002D7706">
        <w:rPr>
          <w:rFonts w:asciiTheme="minorHAnsi" w:hAnsiTheme="minorHAnsi" w:cstheme="minorHAnsi"/>
          <w:lang w:val="en-US" w:bidi="he-IL"/>
        </w:rPr>
        <w:t xml:space="preserve"> “adopted Neo-Platonism as a philosophical foundation for Christian theology.”</w:t>
      </w:r>
      <w:r w:rsidRPr="00212ED7">
        <w:rPr>
          <w:rStyle w:val="FootnoteReference"/>
          <w:rFonts w:asciiTheme="minorHAnsi" w:hAnsiTheme="minorHAnsi" w:cstheme="minorHAnsi"/>
        </w:rPr>
        <w:footnoteReference w:id="102"/>
      </w:r>
      <w:r w:rsidRPr="002D7706">
        <w:rPr>
          <w:rFonts w:asciiTheme="minorHAnsi" w:hAnsiTheme="minorHAnsi" w:cstheme="minorHAnsi"/>
          <w:lang w:val="en-US" w:bidi="he-IL"/>
        </w:rPr>
        <w:t xml:space="preserve"> Conce</w:t>
      </w:r>
      <w:r>
        <w:rPr>
          <w:rFonts w:asciiTheme="minorHAnsi" w:hAnsiTheme="minorHAnsi" w:cstheme="minorHAnsi"/>
          <w:lang w:val="en-US" w:bidi="he-IL"/>
        </w:rPr>
        <w:t>rning Athanasius, Zaitsev holds</w:t>
      </w:r>
      <w:r w:rsidRPr="002D7706">
        <w:rPr>
          <w:rFonts w:asciiTheme="minorHAnsi" w:hAnsiTheme="minorHAnsi" w:cstheme="minorHAnsi"/>
          <w:lang w:val="en-US" w:bidi="he-IL"/>
        </w:rPr>
        <w:t xml:space="preserve"> that “in his understanding of God</w:t>
      </w:r>
      <w:r>
        <w:rPr>
          <w:rFonts w:asciiTheme="minorHAnsi" w:hAnsiTheme="minorHAnsi" w:cstheme="minorHAnsi"/>
          <w:lang w:val="en-US" w:bidi="he-IL"/>
        </w:rPr>
        <w:t>,</w:t>
      </w:r>
      <w:r w:rsidRPr="002D7706">
        <w:rPr>
          <w:rFonts w:asciiTheme="minorHAnsi" w:hAnsiTheme="minorHAnsi" w:cstheme="minorHAnsi"/>
          <w:lang w:val="en-US" w:bidi="he-IL"/>
        </w:rPr>
        <w:t xml:space="preserve"> Athanasius was heavily influenced by Plato, Albina, Plotinus</w:t>
      </w:r>
      <w:r>
        <w:rPr>
          <w:rFonts w:asciiTheme="minorHAnsi" w:hAnsiTheme="minorHAnsi" w:cstheme="minorHAnsi"/>
          <w:lang w:val="en-US" w:bidi="he-IL"/>
        </w:rPr>
        <w:t>,</w:t>
      </w:r>
      <w:r w:rsidRPr="002D7706">
        <w:rPr>
          <w:rFonts w:asciiTheme="minorHAnsi" w:hAnsiTheme="minorHAnsi" w:cstheme="minorHAnsi"/>
          <w:lang w:val="en-US" w:bidi="he-IL"/>
        </w:rPr>
        <w:t xml:space="preserve"> and Proclus.”</w:t>
      </w:r>
      <w:r w:rsidRPr="00212ED7">
        <w:rPr>
          <w:rStyle w:val="FootnoteReference"/>
          <w:rFonts w:asciiTheme="minorHAnsi" w:hAnsiTheme="minorHAnsi" w:cstheme="minorHAnsi"/>
          <w:lang w:bidi="he-IL"/>
        </w:rPr>
        <w:footnoteReference w:id="103"/>
      </w:r>
      <w:r w:rsidRPr="002D7706">
        <w:rPr>
          <w:rFonts w:asciiTheme="minorHAnsi" w:hAnsiTheme="minorHAnsi" w:cstheme="minorHAnsi"/>
          <w:lang w:val="en-US" w:bidi="he-IL"/>
        </w:rPr>
        <w:t xml:space="preserve"> </w:t>
      </w:r>
      <w:r w:rsidRPr="002D7706">
        <w:rPr>
          <w:rFonts w:asciiTheme="minorHAnsi" w:hAnsiTheme="minorHAnsi" w:cstheme="minorHAnsi"/>
          <w:lang w:val="en-US"/>
        </w:rPr>
        <w:t>Sahakian summarizes, “</w:t>
      </w:r>
      <w:r w:rsidRPr="002D7706">
        <w:rPr>
          <w:rFonts w:asciiTheme="minorHAnsi" w:hAnsiTheme="minorHAnsi" w:cstheme="minorHAnsi"/>
          <w:lang w:val="en-US" w:bidi="he-IL"/>
        </w:rPr>
        <w:t>In the last analysis, Patristic theology and philosophy were actually based upon fundamental concepts of Hellenistic thought.”</w:t>
      </w:r>
      <w:r w:rsidRPr="00212ED7">
        <w:rPr>
          <w:rStyle w:val="FootnoteReference"/>
          <w:rFonts w:asciiTheme="minorHAnsi" w:hAnsiTheme="minorHAnsi" w:cstheme="minorHAnsi"/>
          <w:lang w:bidi="he-IL"/>
        </w:rPr>
        <w:footnoteReference w:id="104"/>
      </w:r>
      <w:r w:rsidRPr="002D7706">
        <w:rPr>
          <w:rFonts w:asciiTheme="minorHAnsi" w:hAnsiTheme="minorHAnsi" w:cstheme="minorHAnsi"/>
          <w:lang w:val="en-US" w:bidi="he-IL"/>
        </w:rPr>
        <w:t xml:space="preserve"> </w:t>
      </w:r>
      <w:r w:rsidRPr="002D7706">
        <w:rPr>
          <w:rFonts w:asciiTheme="minorHAnsi" w:hAnsiTheme="minorHAnsi" w:cstheme="minorHAnsi"/>
          <w:lang w:val="en-US"/>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rPr>
        <w:t>An important figure in the dissemination of Neoplatonic thought in patristic theology was Pseudo-Dionysius, a pseudonymic author of the sixth century, whose works were the subject of commentaries by Maximus the Confessor. Sahakian proposes that Pseudo-Dionysius</w:t>
      </w:r>
      <w:r w:rsidRPr="002D7706">
        <w:rPr>
          <w:rFonts w:asciiTheme="minorHAnsi" w:hAnsiTheme="minorHAnsi" w:cstheme="minorHAnsi"/>
          <w:lang w:val="en-US" w:bidi="he-IL"/>
        </w:rPr>
        <w:t xml:space="preserve"> “introduced (</w:t>
      </w:r>
      <w:r w:rsidRPr="002D7706">
        <w:rPr>
          <w:rFonts w:asciiTheme="minorHAnsi" w:hAnsiTheme="minorHAnsi" w:cstheme="minorHAnsi"/>
          <w:lang w:val="en-US"/>
        </w:rPr>
        <w:t>Neoplatonism</w:t>
      </w:r>
      <w:r w:rsidRPr="002D7706">
        <w:rPr>
          <w:rFonts w:asciiTheme="minorHAnsi" w:hAnsiTheme="minorHAnsi" w:cstheme="minorHAnsi"/>
          <w:lang w:val="en-US" w:bidi="he-IL"/>
        </w:rPr>
        <w:t>) into the Church so effectively that it remained there nine centuries.”</w:t>
      </w:r>
      <w:r w:rsidRPr="00212ED7">
        <w:rPr>
          <w:rStyle w:val="FootnoteReference"/>
          <w:rFonts w:asciiTheme="minorHAnsi" w:hAnsiTheme="minorHAnsi" w:cstheme="minorHAnsi"/>
          <w:lang w:bidi="he-IL"/>
        </w:rPr>
        <w:footnoteReference w:id="105"/>
      </w:r>
      <w:r>
        <w:rPr>
          <w:rFonts w:asciiTheme="minorHAnsi" w:hAnsiTheme="minorHAnsi" w:cstheme="minorHAnsi"/>
          <w:lang w:val="en-US" w:bidi="he-IL"/>
        </w:rPr>
        <w:t xml:space="preserve"> Lossky writes</w:t>
      </w:r>
      <w:r w:rsidRPr="002D7706">
        <w:rPr>
          <w:rFonts w:asciiTheme="minorHAnsi" w:hAnsiTheme="minorHAnsi" w:cstheme="minorHAnsi"/>
          <w:lang w:val="en-US" w:bidi="he-IL"/>
        </w:rPr>
        <w:t xml:space="preserve"> that between Dionysius and Plotinus</w:t>
      </w:r>
      <w:r>
        <w:rPr>
          <w:rFonts w:asciiTheme="minorHAnsi" w:hAnsiTheme="minorHAnsi" w:cstheme="minorHAnsi"/>
          <w:lang w:val="en-US" w:bidi="he-IL"/>
        </w:rPr>
        <w:t>,</w:t>
      </w:r>
      <w:r w:rsidRPr="002D7706">
        <w:rPr>
          <w:rFonts w:asciiTheme="minorHAnsi" w:hAnsiTheme="minorHAnsi" w:cstheme="minorHAnsi"/>
          <w:lang w:val="en-US" w:bidi="he-IL"/>
        </w:rPr>
        <w:t xml:space="preserve"> one could observe “striking similarities.”</w:t>
      </w:r>
      <w:r w:rsidRPr="00212ED7">
        <w:rPr>
          <w:rStyle w:val="FootnoteReference"/>
          <w:rFonts w:asciiTheme="minorHAnsi" w:hAnsiTheme="minorHAnsi" w:cstheme="minorHAnsi"/>
          <w:lang w:bidi="he-IL"/>
        </w:rPr>
        <w:footnoteReference w:id="106"/>
      </w:r>
      <w:r w:rsidRPr="002D7706">
        <w:rPr>
          <w:rFonts w:asciiTheme="minorHAnsi" w:hAnsiTheme="minorHAnsi" w:cstheme="minorHAnsi"/>
          <w:lang w:val="en-US" w:bidi="he-IL"/>
        </w:rPr>
        <w:t xml:space="preserve"> He confirms, “</w:t>
      </w:r>
      <w:r>
        <w:rPr>
          <w:rFonts w:asciiTheme="minorHAnsi" w:hAnsiTheme="minorHAnsi" w:cstheme="minorHAnsi"/>
          <w:lang w:val="en-US" w:bidi="he-IL"/>
        </w:rPr>
        <w:t>M</w:t>
      </w:r>
      <w:r w:rsidRPr="002D7706">
        <w:rPr>
          <w:rFonts w:asciiTheme="minorHAnsi" w:hAnsiTheme="minorHAnsi" w:cstheme="minorHAnsi"/>
          <w:lang w:val="en-US" w:bidi="he-IL"/>
        </w:rPr>
        <w:t>any of the holy Fathers assimilated and employed (Plotinus’ thought), bringing it to true completion.”</w:t>
      </w:r>
      <w:r w:rsidRPr="00212ED7">
        <w:rPr>
          <w:rStyle w:val="FootnoteReference"/>
          <w:rFonts w:asciiTheme="minorHAnsi" w:hAnsiTheme="minorHAnsi" w:cstheme="minorHAnsi"/>
          <w:lang w:bidi="he-IL"/>
        </w:rPr>
        <w:footnoteReference w:id="107"/>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Even today, some Orthodox writers advance the teaching of Plotinus. Archimandrite Nikon praises the philosopher: “Plotinus even more precisely taught about ‘God-likeness’…,”</w:t>
      </w:r>
      <w:r w:rsidRPr="00212ED7">
        <w:rPr>
          <w:rStyle w:val="FootnoteReference"/>
          <w:rFonts w:asciiTheme="minorHAnsi" w:hAnsiTheme="minorHAnsi" w:cstheme="minorHAnsi"/>
          <w:lang w:bidi="he-IL"/>
        </w:rPr>
        <w:footnoteReference w:id="108"/>
      </w:r>
      <w:r w:rsidRPr="002D7706">
        <w:rPr>
          <w:rFonts w:asciiTheme="minorHAnsi" w:hAnsiTheme="minorHAnsi" w:cstheme="minorHAnsi"/>
          <w:lang w:val="en-US" w:bidi="he-IL"/>
        </w:rPr>
        <w:t xml:space="preserve"> and employs Neoplatonist terminology, such as the “Eternal Mind.”</w:t>
      </w:r>
      <w:r w:rsidRPr="00212ED7">
        <w:rPr>
          <w:rStyle w:val="FootnoteReference"/>
          <w:rFonts w:asciiTheme="minorHAnsi" w:hAnsiTheme="minorHAnsi" w:cstheme="minorHAnsi"/>
          <w:lang w:bidi="he-IL"/>
        </w:rPr>
        <w:footnoteReference w:id="109"/>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 xml:space="preserve">In the final analysis, we must concur with Lenz: </w:t>
      </w:r>
    </w:p>
    <w:p w:rsidR="0027038D" w:rsidRPr="002D7706" w:rsidRDefault="0027038D" w:rsidP="0027038D">
      <w:pPr>
        <w:ind w:firstLine="360"/>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Fonts w:asciiTheme="minorHAnsi" w:hAnsiTheme="minorHAnsi" w:cstheme="minorHAnsi"/>
          <w:lang w:val="en-US"/>
        </w:rPr>
        <w:t>The broad tradition of belief in deification stemming from archaic and classical Greek philosophy continues into early Christianity and points us back above all to Plato. By studying the full tradition, we see similarities of intellectual content and core ideas…</w:t>
      </w:r>
      <w:r>
        <w:rPr>
          <w:rFonts w:asciiTheme="minorHAnsi" w:hAnsiTheme="minorHAnsi" w:cstheme="minorHAnsi"/>
          <w:lang w:val="en-US"/>
        </w:rPr>
        <w:t>.</w:t>
      </w:r>
      <w:r w:rsidRPr="002D7706">
        <w:rPr>
          <w:rFonts w:asciiTheme="minorHAnsi" w:hAnsiTheme="minorHAnsi" w:cstheme="minorHAnsi"/>
          <w:lang w:val="en-US"/>
        </w:rPr>
        <w:t xml:space="preserve"> Thus, Classical Greek thought provides deep roots, essential and inescapable, for the Christian tradition.</w:t>
      </w:r>
      <w:r w:rsidRPr="00212ED7">
        <w:rPr>
          <w:rStyle w:val="FootnoteReference"/>
          <w:rFonts w:asciiTheme="minorHAnsi" w:hAnsiTheme="minorHAnsi" w:cstheme="minorHAnsi"/>
          <w:lang w:val="en-US"/>
        </w:rPr>
        <w:footnoteReference w:id="110"/>
      </w:r>
      <w:r w:rsidRPr="002D7706">
        <w:rPr>
          <w:rFonts w:asciiTheme="minorHAnsi" w:hAnsiTheme="minorHAnsi" w:cstheme="minorHAnsi"/>
          <w:lang w:val="en-US"/>
        </w:rPr>
        <w:t xml:space="preserve"> </w:t>
      </w:r>
    </w:p>
    <w:p w:rsidR="0027038D" w:rsidRPr="002D7706" w:rsidRDefault="0027038D" w:rsidP="0027038D">
      <w:pPr>
        <w:ind w:firstLine="360"/>
        <w:rPr>
          <w:rFonts w:asciiTheme="minorHAnsi" w:hAnsiTheme="minorHAnsi" w:cstheme="minorHAnsi"/>
          <w:lang w:val="en-US"/>
        </w:rPr>
      </w:pP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Powell comes to the tragic conclusion: “Much of what we think of as Christianity is Platonic philosophy.”</w:t>
      </w:r>
      <w:r w:rsidRPr="00212ED7">
        <w:rPr>
          <w:rStyle w:val="FootnoteReference"/>
          <w:rFonts w:asciiTheme="minorHAnsi" w:hAnsiTheme="minorHAnsi" w:cstheme="minorHAnsi"/>
          <w:lang w:val="en-US"/>
        </w:rPr>
        <w:footnoteReference w:id="111"/>
      </w:r>
      <w:r w:rsidRPr="002D7706">
        <w:rPr>
          <w:rFonts w:asciiTheme="minorHAnsi" w:hAnsiTheme="minorHAnsi" w:cstheme="minorHAnsi"/>
          <w:lang w:val="en-US"/>
        </w:rPr>
        <w:t xml:space="preserve"> A more detailed examination of the influence of Neoplatonism is conducted in Appendix B of this volume. </w:t>
      </w:r>
    </w:p>
    <w:p w:rsidR="0027038D" w:rsidRPr="002D7706" w:rsidRDefault="0027038D" w:rsidP="0027038D">
      <w:pPr>
        <w:ind w:firstLine="426"/>
        <w:rPr>
          <w:rFonts w:asciiTheme="minorHAnsi" w:hAnsiTheme="minorHAnsi" w:cstheme="minorHAnsi"/>
          <w:lang w:val="en-US"/>
        </w:rPr>
      </w:pPr>
    </w:p>
    <w:p w:rsidR="0027038D" w:rsidRPr="002D7706" w:rsidRDefault="0027038D" w:rsidP="0027038D">
      <w:pPr>
        <w:pStyle w:val="Heading3"/>
        <w:rPr>
          <w:rFonts w:cstheme="minorHAnsi"/>
          <w:lang w:val="en-US"/>
        </w:rPr>
      </w:pPr>
      <w:r w:rsidRPr="002D7706">
        <w:rPr>
          <w:rFonts w:cstheme="minorHAnsi"/>
          <w:lang w:val="en-US"/>
        </w:rPr>
        <w:t>G. Evaluation of Theosis</w:t>
      </w:r>
    </w:p>
    <w:p w:rsidR="0027038D" w:rsidRPr="002D7706" w:rsidRDefault="0027038D" w:rsidP="0027038D">
      <w:pPr>
        <w:rPr>
          <w:rFonts w:asciiTheme="minorHAnsi" w:hAnsiTheme="minorHAnsi" w:cstheme="minorHAnsi"/>
          <w:lang w:val="en-US" w:bidi="he-IL"/>
        </w:rPr>
      </w:pP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Although the historical foundation of theosis, as noted above, is highly suspect due to clear borrowing from Greek philosophy, especially Neoplatonism, we have yet to examine the biblical evidence </w:t>
      </w:r>
      <w:r>
        <w:rPr>
          <w:rFonts w:asciiTheme="minorHAnsi" w:hAnsiTheme="minorHAnsi" w:cstheme="minorHAnsi"/>
          <w:lang w:val="en-US"/>
        </w:rPr>
        <w:t>supposedly</w:t>
      </w:r>
      <w:r w:rsidRPr="002D7706">
        <w:rPr>
          <w:rFonts w:asciiTheme="minorHAnsi" w:hAnsiTheme="minorHAnsi" w:cstheme="minorHAnsi"/>
          <w:lang w:val="en-US"/>
        </w:rPr>
        <w:t xml:space="preserve"> supporting this theory. First, viewing the doctrine from a general, soteriological perspective, the reader will clearly see the deficient view of salvation it provides. In particular, the supposed saving work of Christ’s incarnation eclipses His sacrificial work on the cross, and, consequently, no provision is made for the justification of guilty humans. This leads to an interesting paradox </w:t>
      </w:r>
      <w:r>
        <w:rPr>
          <w:rFonts w:asciiTheme="minorHAnsi" w:hAnsiTheme="minorHAnsi" w:cstheme="minorHAnsi"/>
          <w:lang w:val="en-US"/>
        </w:rPr>
        <w:t>–</w:t>
      </w:r>
      <w:r w:rsidRPr="002D7706">
        <w:rPr>
          <w:rFonts w:asciiTheme="minorHAnsi" w:hAnsiTheme="minorHAnsi" w:cstheme="minorHAnsi"/>
          <w:lang w:val="en-US"/>
        </w:rPr>
        <w:t xml:space="preserve"> a person could become god, but still have guilt for past sins.   </w:t>
      </w:r>
      <w:r>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In addition, viewing theosis as a soteriological system, we see a clear violation of the </w:t>
      </w:r>
      <w:r>
        <w:rPr>
          <w:rFonts w:asciiTheme="minorHAnsi" w:hAnsiTheme="minorHAnsi" w:cstheme="minorHAnsi"/>
          <w:lang w:val="en-US"/>
        </w:rPr>
        <w:t>P</w:t>
      </w:r>
      <w:r w:rsidRPr="002D7706">
        <w:rPr>
          <w:rFonts w:asciiTheme="minorHAnsi" w:hAnsiTheme="minorHAnsi" w:cstheme="minorHAnsi"/>
          <w:lang w:val="en-US"/>
        </w:rPr>
        <w:t>rotestant (and biblical) principle of salvation by faith alone. In theosis, good works, receiving the sacraments</w:t>
      </w:r>
      <w:r>
        <w:rPr>
          <w:rFonts w:asciiTheme="minorHAnsi" w:hAnsiTheme="minorHAnsi" w:cstheme="minorHAnsi"/>
          <w:lang w:val="en-US"/>
        </w:rPr>
        <w:t>,</w:t>
      </w:r>
      <w:r w:rsidRPr="002D7706">
        <w:rPr>
          <w:rFonts w:asciiTheme="minorHAnsi" w:hAnsiTheme="minorHAnsi" w:cstheme="minorHAnsi"/>
          <w:lang w:val="en-US"/>
        </w:rPr>
        <w:t xml:space="preserve"> and an ascetic devotion to prayer are irreplaceable elements in the saving process.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We may also challenge the distinction made in Orthodox theology between God’s essence and His energies. Clearly, there is no biblical warrant for such a distinction. The attributes of God describe not His “energies,” but His nature and essence. The Bible does not say that God </w:t>
      </w:r>
      <w:r w:rsidRPr="002D7706">
        <w:rPr>
          <w:rFonts w:asciiTheme="minorHAnsi" w:hAnsiTheme="minorHAnsi" w:cstheme="minorHAnsi"/>
          <w:i/>
          <w:iCs/>
          <w:lang w:val="en-US"/>
        </w:rPr>
        <w:t>revealed Himself</w:t>
      </w:r>
      <w:r w:rsidRPr="002D7706">
        <w:rPr>
          <w:rFonts w:asciiTheme="minorHAnsi" w:hAnsiTheme="minorHAnsi" w:cstheme="minorHAnsi"/>
          <w:lang w:val="en-US"/>
        </w:rPr>
        <w:t xml:space="preserve"> as love, but that God </w:t>
      </w:r>
      <w:r w:rsidRPr="002D7706">
        <w:rPr>
          <w:rFonts w:asciiTheme="minorHAnsi" w:hAnsiTheme="minorHAnsi" w:cstheme="minorHAnsi"/>
          <w:i/>
          <w:iCs/>
          <w:lang w:val="en-US"/>
        </w:rPr>
        <w:t>is</w:t>
      </w:r>
      <w:r w:rsidRPr="002D7706">
        <w:rPr>
          <w:rFonts w:asciiTheme="minorHAnsi" w:hAnsiTheme="minorHAnsi" w:cstheme="minorHAnsi"/>
          <w:lang w:val="en-US"/>
        </w:rPr>
        <w:t xml:space="preserve"> love (1 Jn 4:16). The Bible does not teach that God </w:t>
      </w:r>
      <w:r w:rsidRPr="002D7706">
        <w:rPr>
          <w:rFonts w:asciiTheme="minorHAnsi" w:hAnsiTheme="minorHAnsi" w:cstheme="minorHAnsi"/>
          <w:i/>
          <w:iCs/>
          <w:lang w:val="en-US"/>
        </w:rPr>
        <w:t>revealed Himself</w:t>
      </w:r>
      <w:r w:rsidRPr="002D7706">
        <w:rPr>
          <w:rFonts w:asciiTheme="minorHAnsi" w:hAnsiTheme="minorHAnsi" w:cstheme="minorHAnsi"/>
          <w:lang w:val="en-US"/>
        </w:rPr>
        <w:t xml:space="preserve"> as light, but that God </w:t>
      </w:r>
      <w:r w:rsidRPr="002D7706">
        <w:rPr>
          <w:rFonts w:asciiTheme="minorHAnsi" w:hAnsiTheme="minorHAnsi" w:cstheme="minorHAnsi"/>
          <w:i/>
          <w:iCs/>
          <w:lang w:val="en-US"/>
        </w:rPr>
        <w:t>is</w:t>
      </w:r>
      <w:r w:rsidRPr="002D7706">
        <w:rPr>
          <w:rFonts w:asciiTheme="minorHAnsi" w:hAnsiTheme="minorHAnsi" w:cstheme="minorHAnsi"/>
          <w:lang w:val="en-US"/>
        </w:rPr>
        <w:t xml:space="preserve"> light (1 Jn 1:5). Bloesch correctly comments, “The essence of God is reflected in his attributes; the attributes, on the other hand, are manifestations of his essence.”</w:t>
      </w:r>
      <w:r w:rsidRPr="00596F37">
        <w:rPr>
          <w:rStyle w:val="FootnoteReference"/>
          <w:rFonts w:asciiTheme="minorHAnsi" w:hAnsiTheme="minorHAnsi" w:cstheme="minorHAnsi"/>
          <w:lang w:val="en-US"/>
        </w:rPr>
        <w:footnoteReference w:id="112"/>
      </w:r>
      <w:r>
        <w:rPr>
          <w:rFonts w:asciiTheme="minorHAnsi" w:hAnsiTheme="minorHAnsi" w:cstheme="minorHAnsi"/>
          <w:lang w:val="en-US"/>
        </w:rPr>
        <w:t xml:space="preserve"> Erickson echoes this</w:t>
      </w:r>
      <w:r w:rsidRPr="002D7706">
        <w:rPr>
          <w:rFonts w:asciiTheme="minorHAnsi" w:hAnsiTheme="minorHAnsi" w:cstheme="minorHAnsi"/>
          <w:lang w:val="en-US"/>
        </w:rPr>
        <w:t xml:space="preserve"> thought: “</w:t>
      </w:r>
      <w:r w:rsidRPr="002D7706">
        <w:rPr>
          <w:rFonts w:asciiTheme="minorHAnsi" w:hAnsiTheme="minorHAnsi" w:cstheme="minorHAnsi"/>
          <w:lang w:val="en-US" w:bidi="he-IL"/>
        </w:rPr>
        <w:t>God is his essence, he is his attributes, the predicates that attach to him. When we know the attributes of God, we are truly knowing him.”</w:t>
      </w:r>
      <w:r w:rsidRPr="002D7706">
        <w:rPr>
          <w:rStyle w:val="FootnoteReference"/>
          <w:rFonts w:asciiTheme="minorHAnsi" w:hAnsiTheme="minorHAnsi" w:cstheme="minorHAnsi"/>
          <w:sz w:val="16"/>
          <w:szCs w:val="16"/>
        </w:rPr>
        <w:footnoteReference w:id="113"/>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The idea of God’s essence differing from His energies is challenged by the claims of Jesus Himself. John wrote of Him, “No one has seen God at any time; the only begotten God who is in the bosom of the Father, He has explained {Him}” (Jn 1:18). Here, we note that Jesus did not reveal God’s “energies,” but the “invisible God,” that is, His essence. This is why John could claim, “We saw His glory, glory as of the only begotten from the Father,” and why Jesus could say, “He who has seen Me has seen the Father” (Jn 14:9).</w:t>
      </w:r>
    </w:p>
    <w:p w:rsidR="0027038D" w:rsidRPr="002D7706" w:rsidRDefault="0027038D" w:rsidP="0027038D">
      <w:pPr>
        <w:ind w:firstLine="426"/>
        <w:rPr>
          <w:rFonts w:asciiTheme="minorHAnsi" w:hAnsiTheme="minorHAnsi" w:cstheme="minorHAnsi"/>
          <w:lang w:val="en-US" w:bidi="he-IL"/>
        </w:rPr>
      </w:pPr>
      <w:r w:rsidRPr="002D7706">
        <w:rPr>
          <w:rFonts w:asciiTheme="minorHAnsi" w:hAnsiTheme="minorHAnsi" w:cstheme="minorHAnsi"/>
          <w:lang w:val="en-US"/>
        </w:rPr>
        <w:t>Making a distinction between essence and energies in God presents an even greater difficulty for C</w:t>
      </w:r>
      <w:r>
        <w:rPr>
          <w:rFonts w:asciiTheme="minorHAnsi" w:hAnsiTheme="minorHAnsi" w:cstheme="minorHAnsi"/>
          <w:lang w:val="en-US"/>
        </w:rPr>
        <w:t>h</w:t>
      </w:r>
      <w:r w:rsidRPr="002D7706">
        <w:rPr>
          <w:rFonts w:asciiTheme="minorHAnsi" w:hAnsiTheme="minorHAnsi" w:cstheme="minorHAnsi"/>
          <w:lang w:val="en-US"/>
        </w:rPr>
        <w:t xml:space="preserve">ristian experience. If, as some Orthodox thinkers propose, the believer, by assimilating God’s energies, can potentially </w:t>
      </w:r>
      <w:r w:rsidRPr="002D7706">
        <w:rPr>
          <w:rFonts w:asciiTheme="minorHAnsi" w:hAnsiTheme="minorHAnsi" w:cstheme="minorHAnsi"/>
          <w:lang w:val="en-US" w:bidi="he-IL"/>
        </w:rPr>
        <w:t>“possess by grace all that the Most Holy Trinity possess by nature,”</w:t>
      </w:r>
      <w:r w:rsidRPr="00212ED7">
        <w:rPr>
          <w:rStyle w:val="FootnoteReference"/>
          <w:rFonts w:asciiTheme="minorHAnsi" w:hAnsiTheme="minorHAnsi" w:cstheme="minorHAnsi"/>
          <w:lang w:bidi="he-IL"/>
        </w:rPr>
        <w:footnoteReference w:id="114"/>
      </w:r>
      <w:r w:rsidRPr="002D7706">
        <w:rPr>
          <w:rFonts w:asciiTheme="minorHAnsi" w:hAnsiTheme="minorHAnsi" w:cstheme="minorHAnsi"/>
          <w:lang w:val="en-US" w:bidi="he-IL"/>
        </w:rPr>
        <w:t xml:space="preserve"> or if it can be that </w:t>
      </w:r>
      <w:r w:rsidRPr="002D7706">
        <w:rPr>
          <w:rFonts w:asciiTheme="minorHAnsi" w:hAnsiTheme="minorHAnsi" w:cstheme="minorHAnsi"/>
          <w:lang w:val="en-US"/>
        </w:rPr>
        <w:t>“</w:t>
      </w:r>
      <w:r w:rsidRPr="002D7706">
        <w:rPr>
          <w:rFonts w:asciiTheme="minorHAnsi" w:hAnsiTheme="minorHAnsi" w:cstheme="minorHAnsi"/>
          <w:lang w:val="en-US" w:bidi="he-IL"/>
        </w:rPr>
        <w:t>all that God is, except for an identity in ousia (i.e., “essence”), one becomes when he is deified by grace,”</w:t>
      </w:r>
      <w:r w:rsidRPr="00212ED7">
        <w:rPr>
          <w:rStyle w:val="FootnoteReference"/>
          <w:rFonts w:asciiTheme="minorHAnsi" w:hAnsiTheme="minorHAnsi" w:cstheme="minorHAnsi"/>
          <w:lang w:bidi="he-IL"/>
        </w:rPr>
        <w:footnoteReference w:id="115"/>
      </w:r>
      <w:r w:rsidRPr="002D7706">
        <w:rPr>
          <w:rFonts w:asciiTheme="minorHAnsi" w:hAnsiTheme="minorHAnsi" w:cstheme="minorHAnsi"/>
          <w:lang w:val="en-US" w:bidi="he-IL"/>
        </w:rPr>
        <w:t xml:space="preserve"> then all that is predicated of God in Holy Scripture (which, by the way, supposedly relates not to His unknowable essence, but to His revealed energies) can be actualized in the believer. The idea is preposterous, if not blasphemous.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Other writers share this concern. Historian Jaroslav Pelakin writes, “The idea of deification in the Greek fathers had run the danger of obscuring the distinction between Creator and creature.</w:t>
      </w:r>
      <w:r>
        <w:rPr>
          <w:rFonts w:asciiTheme="minorHAnsi" w:hAnsiTheme="minorHAnsi" w:cstheme="minorHAnsi"/>
          <w:lang w:val="en-US"/>
        </w:rPr>
        <w:t>”</w:t>
      </w:r>
      <w:r w:rsidRPr="00212ED7">
        <w:rPr>
          <w:rStyle w:val="FootnoteReference"/>
          <w:rFonts w:asciiTheme="minorHAnsi" w:eastAsia="MS Mincho" w:hAnsiTheme="minorHAnsi" w:cstheme="minorHAnsi"/>
          <w:lang w:eastAsia="ja-JP"/>
        </w:rPr>
        <w:footnoteReference w:id="116"/>
      </w:r>
      <w:r w:rsidRPr="002D7706">
        <w:rPr>
          <w:rFonts w:asciiTheme="minorHAnsi" w:hAnsiTheme="minorHAnsi" w:cstheme="minorHAnsi"/>
          <w:lang w:val="en-US"/>
        </w:rPr>
        <w:t xml:space="preserve"> James Dunn comments, “I suppose it is the concern that the infinite distinction between Creator and creation is endangered which makes me so uneasy.”</w:t>
      </w:r>
      <w:r w:rsidRPr="00212ED7">
        <w:rPr>
          <w:rStyle w:val="FootnoteReference"/>
          <w:rFonts w:asciiTheme="minorHAnsi" w:eastAsia="MS Mincho" w:hAnsiTheme="minorHAnsi" w:cstheme="minorHAnsi"/>
          <w:lang w:eastAsia="ja-JP"/>
        </w:rPr>
        <w:footnoteReference w:id="117"/>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Adherents of theosis attempt to soften their claims by stating that while God is divine </w:t>
      </w:r>
      <w:r w:rsidRPr="002D7706">
        <w:rPr>
          <w:rFonts w:asciiTheme="minorHAnsi" w:hAnsiTheme="minorHAnsi" w:cstheme="minorHAnsi"/>
          <w:i/>
          <w:iCs/>
          <w:lang w:val="en-US"/>
        </w:rPr>
        <w:t>by nature</w:t>
      </w:r>
      <w:r w:rsidRPr="002D7706">
        <w:rPr>
          <w:rFonts w:asciiTheme="minorHAnsi" w:hAnsiTheme="minorHAnsi" w:cstheme="minorHAnsi"/>
          <w:lang w:val="en-US"/>
        </w:rPr>
        <w:t xml:space="preserve">, the believer becomes divine </w:t>
      </w:r>
      <w:r w:rsidRPr="002D7706">
        <w:rPr>
          <w:rFonts w:asciiTheme="minorHAnsi" w:hAnsiTheme="minorHAnsi" w:cstheme="minorHAnsi"/>
          <w:i/>
          <w:iCs/>
          <w:lang w:val="en-US"/>
        </w:rPr>
        <w:t>by grace</w:t>
      </w:r>
      <w:r w:rsidRPr="002D7706">
        <w:rPr>
          <w:rFonts w:asciiTheme="minorHAnsi" w:hAnsiTheme="minorHAnsi" w:cstheme="minorHAnsi"/>
          <w:lang w:val="en-US"/>
        </w:rPr>
        <w:t>. Although this formula sounds very “</w:t>
      </w:r>
      <w:r>
        <w:rPr>
          <w:rFonts w:asciiTheme="minorHAnsi" w:hAnsiTheme="minorHAnsi" w:cstheme="minorHAnsi"/>
          <w:lang w:val="en-US"/>
        </w:rPr>
        <w:t>E</w:t>
      </w:r>
      <w:r w:rsidRPr="002D7706">
        <w:rPr>
          <w:rFonts w:asciiTheme="minorHAnsi" w:hAnsiTheme="minorHAnsi" w:cstheme="minorHAnsi"/>
          <w:lang w:val="en-US"/>
        </w:rPr>
        <w:t>vangelical,” the real meaning behind the phrase “by grace” is that humans can unite with God’s energies alone, not with his essence. Uniting with the latter would make them divine “by nature.”</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Earlier we noted that in its most superficial form, theosis is</w:t>
      </w:r>
      <w:r>
        <w:rPr>
          <w:rFonts w:asciiTheme="minorHAnsi" w:hAnsiTheme="minorHAnsi" w:cstheme="minorHAnsi"/>
          <w:lang w:val="en-US"/>
        </w:rPr>
        <w:t xml:space="preserve"> understood as “God-likeness.” </w:t>
      </w:r>
      <w:r w:rsidRPr="002D7706">
        <w:rPr>
          <w:rFonts w:asciiTheme="minorHAnsi" w:hAnsiTheme="minorHAnsi" w:cstheme="minorHAnsi"/>
          <w:lang w:val="en-US"/>
        </w:rPr>
        <w:t xml:space="preserve">However, God-likeness, as we shall now see, differs significantly from theosis. “Likeness” is sharing similar traits, but not necessarily to the same extent as they exist in the original. A person can emulate the attributes of God to the degree that it is humanly possible to do so, but </w:t>
      </w:r>
      <w:r>
        <w:rPr>
          <w:rFonts w:asciiTheme="minorHAnsi" w:hAnsiTheme="minorHAnsi" w:cstheme="minorHAnsi"/>
          <w:lang w:val="en-US"/>
        </w:rPr>
        <w:t>he or she</w:t>
      </w:r>
      <w:r w:rsidRPr="002D7706">
        <w:rPr>
          <w:rFonts w:asciiTheme="minorHAnsi" w:hAnsiTheme="minorHAnsi" w:cstheme="minorHAnsi"/>
          <w:lang w:val="en-US"/>
        </w:rPr>
        <w:t xml:space="preserve"> will never acquire those properties to the divine degree. This is “God-likeness.” In this scenario, </w:t>
      </w:r>
      <w:r>
        <w:rPr>
          <w:rFonts w:asciiTheme="minorHAnsi" w:hAnsiTheme="minorHAnsi" w:cstheme="minorHAnsi"/>
          <w:lang w:val="en-US"/>
        </w:rPr>
        <w:t>people</w:t>
      </w:r>
      <w:r w:rsidRPr="002D7706">
        <w:rPr>
          <w:rFonts w:asciiTheme="minorHAnsi" w:hAnsiTheme="minorHAnsi" w:cstheme="minorHAnsi"/>
          <w:lang w:val="en-US"/>
        </w:rPr>
        <w:t xml:space="preserve"> can never consider </w:t>
      </w:r>
      <w:r>
        <w:rPr>
          <w:rFonts w:asciiTheme="minorHAnsi" w:hAnsiTheme="minorHAnsi" w:cstheme="minorHAnsi"/>
          <w:lang w:val="en-US"/>
        </w:rPr>
        <w:t>them</w:t>
      </w:r>
      <w:r w:rsidRPr="002D7706">
        <w:rPr>
          <w:rFonts w:asciiTheme="minorHAnsi" w:hAnsiTheme="minorHAnsi" w:cstheme="minorHAnsi"/>
          <w:lang w:val="en-US"/>
        </w:rPr>
        <w:t>sel</w:t>
      </w:r>
      <w:r>
        <w:rPr>
          <w:rFonts w:asciiTheme="minorHAnsi" w:hAnsiTheme="minorHAnsi" w:cstheme="minorHAnsi"/>
          <w:lang w:val="en-US"/>
        </w:rPr>
        <w:t>ves</w:t>
      </w:r>
      <w:r w:rsidRPr="002D7706">
        <w:rPr>
          <w:rFonts w:asciiTheme="minorHAnsi" w:hAnsiTheme="minorHAnsi" w:cstheme="minorHAnsi"/>
          <w:lang w:val="en-US"/>
        </w:rPr>
        <w:t xml:space="preserve"> “god” in that </w:t>
      </w:r>
      <w:r>
        <w:rPr>
          <w:rFonts w:asciiTheme="minorHAnsi" w:hAnsiTheme="minorHAnsi" w:cstheme="minorHAnsi"/>
          <w:lang w:val="en-US"/>
        </w:rPr>
        <w:t>th</w:t>
      </w:r>
      <w:r w:rsidRPr="002D7706">
        <w:rPr>
          <w:rFonts w:asciiTheme="minorHAnsi" w:hAnsiTheme="minorHAnsi" w:cstheme="minorHAnsi"/>
          <w:lang w:val="en-US"/>
        </w:rPr>
        <w:t>e</w:t>
      </w:r>
      <w:r>
        <w:rPr>
          <w:rFonts w:asciiTheme="minorHAnsi" w:hAnsiTheme="minorHAnsi" w:cstheme="minorHAnsi"/>
          <w:lang w:val="en-US"/>
        </w:rPr>
        <w:t>y</w:t>
      </w:r>
      <w:r w:rsidRPr="002D7706">
        <w:rPr>
          <w:rFonts w:asciiTheme="minorHAnsi" w:hAnsiTheme="minorHAnsi" w:cstheme="minorHAnsi"/>
          <w:lang w:val="en-US"/>
        </w:rPr>
        <w:t xml:space="preserve"> </w:t>
      </w:r>
      <w:r>
        <w:rPr>
          <w:rFonts w:asciiTheme="minorHAnsi" w:hAnsiTheme="minorHAnsi" w:cstheme="minorHAnsi"/>
          <w:lang w:val="en-US"/>
        </w:rPr>
        <w:t>do</w:t>
      </w:r>
      <w:r w:rsidRPr="002D7706">
        <w:rPr>
          <w:rFonts w:asciiTheme="minorHAnsi" w:hAnsiTheme="minorHAnsi" w:cstheme="minorHAnsi"/>
          <w:lang w:val="en-US"/>
        </w:rPr>
        <w:t xml:space="preserve"> not possess the divine attributes to such a degree that would qualify </w:t>
      </w:r>
      <w:r>
        <w:rPr>
          <w:rFonts w:asciiTheme="minorHAnsi" w:hAnsiTheme="minorHAnsi" w:cstheme="minorHAnsi"/>
          <w:lang w:val="en-US"/>
        </w:rPr>
        <w:t xml:space="preserve">them </w:t>
      </w:r>
      <w:r w:rsidRPr="002D7706">
        <w:rPr>
          <w:rFonts w:asciiTheme="minorHAnsi" w:hAnsiTheme="minorHAnsi" w:cstheme="minorHAnsi"/>
          <w:lang w:val="en-US"/>
        </w:rPr>
        <w:t xml:space="preserve">for that status.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Theosis, on the other hand, is the assimilation of God’s energies in the human constitution to the same decree that He possesses them. All that the human lacks for full divination is possession of the Divine Essence, which is not granted. Yet, the person possess enough of the divine nature to cross the ontological line from simple humanity to “deified” humanity, and thus consider himself or herself “god.”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 xml:space="preserve">It is significant to note that in Scripture the believer is often call a “son” or “child” of God, but never “god” (see explanation of John 10:34 below). This observation corresponds to what we have said about the likeness-theosis distinction. As a “child” of God, we may share in His nature by demonstrating His attributes to a limited degree, but we are never given in Scripture the privilege to refer to ourselves as gods.  </w:t>
      </w:r>
    </w:p>
    <w:p w:rsidR="0027038D" w:rsidRPr="002D7706" w:rsidRDefault="0027038D" w:rsidP="0027038D">
      <w:pPr>
        <w:ind w:firstLine="426"/>
        <w:rPr>
          <w:rFonts w:asciiTheme="minorHAnsi" w:hAnsiTheme="minorHAnsi" w:cstheme="minorHAnsi"/>
          <w:iCs/>
          <w:lang w:val="en-US"/>
        </w:rPr>
      </w:pPr>
      <w:r w:rsidRPr="002D7706">
        <w:rPr>
          <w:rFonts w:asciiTheme="minorHAnsi" w:hAnsiTheme="minorHAnsi" w:cstheme="minorHAnsi"/>
          <w:iCs/>
          <w:lang w:val="en-US"/>
        </w:rPr>
        <w:t>What about the claim of Christ, “</w:t>
      </w:r>
      <w:r>
        <w:rPr>
          <w:rFonts w:asciiTheme="minorHAnsi" w:hAnsiTheme="minorHAnsi" w:cstheme="minorHAnsi"/>
          <w:iCs/>
          <w:lang w:val="en-US"/>
        </w:rPr>
        <w:t>You are gods</w:t>
      </w:r>
      <w:r w:rsidRPr="002D7706">
        <w:rPr>
          <w:rFonts w:asciiTheme="minorHAnsi" w:hAnsiTheme="minorHAnsi" w:cstheme="minorHAnsi"/>
          <w:iCs/>
          <w:lang w:val="en-US"/>
        </w:rPr>
        <w:t xml:space="preserve">” (Jn 10:34)?  In assessing this saying, it is imperative to investigate the context. Jesus is quoting here Psalm 82, which is a psalm of rebuke for the unjust judges of Israel. They are called </w:t>
      </w:r>
      <w:r w:rsidRPr="002D7706">
        <w:rPr>
          <w:rFonts w:asciiTheme="minorHAnsi" w:hAnsiTheme="minorHAnsi" w:cstheme="minorHAnsi"/>
          <w:i/>
          <w:lang w:val="en-US"/>
        </w:rPr>
        <w:t>Elohim</w:t>
      </w:r>
      <w:r w:rsidRPr="002D7706">
        <w:rPr>
          <w:rFonts w:asciiTheme="minorHAnsi" w:hAnsiTheme="minorHAnsi" w:cstheme="minorHAnsi"/>
          <w:iCs/>
          <w:lang w:val="en-US"/>
        </w:rPr>
        <w:t xml:space="preserve"> not by virtue of their exemplary behavior (remember, this is a psalm of rebuke), but by way of irony. As </w:t>
      </w:r>
      <w:r w:rsidRPr="002D7706">
        <w:rPr>
          <w:rFonts w:asciiTheme="minorHAnsi" w:hAnsiTheme="minorHAnsi" w:cstheme="minorHAnsi"/>
          <w:i/>
          <w:lang w:val="en-US"/>
        </w:rPr>
        <w:t>Elohim</w:t>
      </w:r>
      <w:r w:rsidRPr="002D7706">
        <w:rPr>
          <w:rFonts w:asciiTheme="minorHAnsi" w:hAnsiTheme="minorHAnsi" w:cstheme="minorHAnsi"/>
          <w:iCs/>
          <w:lang w:val="en-US"/>
        </w:rPr>
        <w:t xml:space="preserve">, that is, as leaders of God’s people (see similar usage in Ex 21:6 and 22:8), they should walk uprightly, but they do just the opposite. </w:t>
      </w:r>
    </w:p>
    <w:p w:rsidR="0027038D" w:rsidRPr="002D7706" w:rsidRDefault="0027038D" w:rsidP="0027038D">
      <w:pPr>
        <w:ind w:firstLine="426"/>
        <w:rPr>
          <w:rFonts w:asciiTheme="minorHAnsi" w:hAnsiTheme="minorHAnsi" w:cstheme="minorHAnsi"/>
          <w:iCs/>
          <w:lang w:val="en-US"/>
        </w:rPr>
      </w:pPr>
      <w:r w:rsidRPr="002D7706">
        <w:rPr>
          <w:rFonts w:asciiTheme="minorHAnsi" w:hAnsiTheme="minorHAnsi" w:cstheme="minorHAnsi"/>
          <w:lang w:val="en-US"/>
        </w:rPr>
        <w:t>For a closer investigation of Jesus’ usage of this psalm, we turn to the comments of B. B. Warfield.</w:t>
      </w:r>
      <w:r w:rsidRPr="00212ED7">
        <w:rPr>
          <w:rStyle w:val="FootnoteReference"/>
          <w:rFonts w:asciiTheme="minorHAnsi" w:hAnsiTheme="minorHAnsi" w:cstheme="minorHAnsi"/>
        </w:rPr>
        <w:footnoteReference w:id="118"/>
      </w:r>
      <w:r w:rsidRPr="002D7706">
        <w:rPr>
          <w:rFonts w:asciiTheme="minorHAnsi" w:hAnsiTheme="minorHAnsi" w:cstheme="minorHAnsi"/>
          <w:lang w:val="en-US"/>
        </w:rPr>
        <w:t xml:space="preserve"> Just prior to this, Jesus claimed equality with the Father (v. 33) and is accused, correspondingly, with blasphemy. Jesus makes His defense in the following manner. If those to whom the Word of God came (the judges of Ps 82) were called </w:t>
      </w:r>
      <w:r w:rsidRPr="002D7706">
        <w:rPr>
          <w:rFonts w:asciiTheme="minorHAnsi" w:hAnsiTheme="minorHAnsi" w:cstheme="minorHAnsi"/>
          <w:i/>
          <w:lang w:val="en-US"/>
        </w:rPr>
        <w:t>Elohim</w:t>
      </w:r>
      <w:r w:rsidRPr="002D7706">
        <w:rPr>
          <w:rFonts w:asciiTheme="minorHAnsi" w:hAnsiTheme="minorHAnsi" w:cstheme="minorHAnsi"/>
          <w:iCs/>
          <w:lang w:val="en-US"/>
        </w:rPr>
        <w:t>, how can one object, if One greater than they, that is, the One the Father “</w:t>
      </w:r>
      <w:r w:rsidRPr="002D7706">
        <w:rPr>
          <w:rFonts w:asciiTheme="minorHAnsi" w:hAnsiTheme="minorHAnsi" w:cstheme="minorHAnsi"/>
          <w:lang w:val="en-US" w:eastAsia="en-US" w:bidi="he-IL"/>
        </w:rPr>
        <w:t>sanctified and sent into the world,</w:t>
      </w:r>
      <w:r w:rsidRPr="002D7706">
        <w:rPr>
          <w:rFonts w:asciiTheme="minorHAnsi" w:hAnsiTheme="minorHAnsi" w:cstheme="minorHAnsi"/>
          <w:iCs/>
          <w:lang w:val="en-US"/>
        </w:rPr>
        <w:t xml:space="preserve">” claims to be </w:t>
      </w:r>
      <w:r w:rsidRPr="002D7706">
        <w:rPr>
          <w:rFonts w:asciiTheme="minorHAnsi" w:hAnsiTheme="minorHAnsi" w:cstheme="minorHAnsi"/>
          <w:i/>
          <w:lang w:val="en-US"/>
        </w:rPr>
        <w:t>Elohim</w:t>
      </w:r>
      <w:r w:rsidRPr="002D7706">
        <w:rPr>
          <w:rFonts w:asciiTheme="minorHAnsi" w:hAnsiTheme="minorHAnsi" w:cstheme="minorHAnsi"/>
          <w:iCs/>
          <w:lang w:val="en-US"/>
        </w:rPr>
        <w:t xml:space="preserve">? Here, we see no hint of the deification of humans.    </w:t>
      </w:r>
    </w:p>
    <w:p w:rsidR="0027038D" w:rsidRPr="002D7706" w:rsidRDefault="0027038D" w:rsidP="0027038D">
      <w:pPr>
        <w:ind w:firstLine="426"/>
        <w:rPr>
          <w:rFonts w:asciiTheme="minorHAnsi" w:hAnsiTheme="minorHAnsi" w:cstheme="minorHAnsi"/>
          <w:iCs/>
          <w:lang w:val="en-US"/>
        </w:rPr>
      </w:pPr>
      <w:r w:rsidRPr="002D7706">
        <w:rPr>
          <w:rFonts w:asciiTheme="minorHAnsi" w:hAnsiTheme="minorHAnsi" w:cstheme="minorHAnsi"/>
          <w:iCs/>
          <w:lang w:val="en-US"/>
        </w:rPr>
        <w:t>It is also significant that Jesus does not speak in the future tense, but in the present. He did not say, “You will be gods,” which would be consistent with deification, but “You are gods” now, referring to the status of the Old Testament judges among God’s people. Gross concurs, “</w:t>
      </w:r>
      <w:r w:rsidRPr="002D7706">
        <w:rPr>
          <w:rFonts w:asciiTheme="minorHAnsi" w:hAnsiTheme="minorHAnsi" w:cstheme="minorHAnsi"/>
          <w:lang w:val="en-US" w:bidi="he-IL"/>
        </w:rPr>
        <w:t xml:space="preserve">Whatever many of the ancient exegetes may say about them, the titles of </w:t>
      </w:r>
      <w:r w:rsidRPr="002D7706">
        <w:rPr>
          <w:rFonts w:asciiTheme="minorHAnsi" w:hAnsiTheme="minorHAnsi" w:cstheme="minorHAnsi"/>
          <w:i/>
          <w:iCs/>
          <w:lang w:val="en-US" w:bidi="he-IL"/>
        </w:rPr>
        <w:t>elohim</w:t>
      </w:r>
      <w:r w:rsidRPr="002D7706">
        <w:rPr>
          <w:rFonts w:asciiTheme="minorHAnsi" w:hAnsiTheme="minorHAnsi" w:cstheme="minorHAnsi"/>
          <w:lang w:val="en-US" w:bidi="he-IL"/>
        </w:rPr>
        <w:t xml:space="preserve"> and ‘children of the Most High,’ conferred here on the judges, do not thus have, in the least, the sense of a divination by an assimilation of humankind to the divine nature.</w:t>
      </w:r>
      <w:r w:rsidRPr="002D7706">
        <w:rPr>
          <w:rFonts w:asciiTheme="minorHAnsi" w:hAnsiTheme="minorHAnsi" w:cstheme="minorHAnsi"/>
          <w:iCs/>
          <w:lang w:val="en-US"/>
        </w:rPr>
        <w:t>”</w:t>
      </w:r>
      <w:r w:rsidRPr="00212ED7">
        <w:rPr>
          <w:rStyle w:val="FootnoteReference"/>
          <w:rFonts w:asciiTheme="minorHAnsi" w:eastAsia="MS Mincho" w:hAnsiTheme="minorHAnsi" w:cstheme="minorHAnsi"/>
          <w:lang w:eastAsia="ja-JP"/>
        </w:rPr>
        <w:footnoteReference w:id="119"/>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lang w:val="en-US"/>
        </w:rPr>
        <w:t>What about 2 Pet</w:t>
      </w:r>
      <w:r>
        <w:rPr>
          <w:rFonts w:asciiTheme="minorHAnsi" w:hAnsiTheme="minorHAnsi" w:cstheme="minorHAnsi"/>
          <w:lang w:val="en-US"/>
        </w:rPr>
        <w:t>er</w:t>
      </w:r>
      <w:r w:rsidRPr="002D7706">
        <w:rPr>
          <w:rFonts w:asciiTheme="minorHAnsi" w:hAnsiTheme="minorHAnsi" w:cstheme="minorHAnsi"/>
          <w:lang w:val="en-US"/>
        </w:rPr>
        <w:t xml:space="preserve"> 1:4?  Does it not state there that we are “partakers of </w:t>
      </w:r>
      <w:r w:rsidRPr="00CD1831">
        <w:rPr>
          <w:rFonts w:asciiTheme="minorHAnsi" w:hAnsiTheme="minorHAnsi" w:cstheme="minorHAnsi"/>
          <w:lang w:val="en-US"/>
        </w:rPr>
        <w:t>{the}</w:t>
      </w:r>
      <w:r w:rsidRPr="002D7706">
        <w:rPr>
          <w:rFonts w:asciiTheme="minorHAnsi" w:hAnsiTheme="minorHAnsi" w:cstheme="minorHAnsi"/>
          <w:lang w:val="en-US"/>
        </w:rPr>
        <w:t xml:space="preserve"> divine nature?” First, we must note that according to Orthodox theology</w:t>
      </w:r>
      <w:r>
        <w:rPr>
          <w:rFonts w:asciiTheme="minorHAnsi" w:hAnsiTheme="minorHAnsi" w:cstheme="minorHAnsi"/>
          <w:lang w:val="en-US"/>
        </w:rPr>
        <w:t>,</w:t>
      </w:r>
      <w:r w:rsidRPr="002D7706">
        <w:rPr>
          <w:rFonts w:asciiTheme="minorHAnsi" w:hAnsiTheme="minorHAnsi" w:cstheme="minorHAnsi"/>
          <w:lang w:val="en-US"/>
        </w:rPr>
        <w:t xml:space="preserve"> one may not partake of the Divine Essence, only of God’s energies. Yet this verse speaks of participation in the nature (</w:t>
      </w:r>
      <w:r w:rsidRPr="002D7706">
        <w:rPr>
          <w:rFonts w:asciiTheme="minorHAnsi" w:hAnsiTheme="minorHAnsi" w:cstheme="minorHAnsi"/>
          <w:lang w:val="el-GR" w:bidi="he-IL"/>
        </w:rPr>
        <w:t>φυ</w:t>
      </w:r>
      <w:r w:rsidRPr="002D7706">
        <w:rPr>
          <w:rFonts w:asciiTheme="minorHAnsi" w:hAnsiTheme="minorHAnsi" w:cstheme="minorHAnsi"/>
          <w:lang w:val="en-US" w:bidi="he-IL"/>
        </w:rPr>
        <w:t>́</w:t>
      </w:r>
      <w:r w:rsidRPr="002D7706">
        <w:rPr>
          <w:rFonts w:asciiTheme="minorHAnsi" w:hAnsiTheme="minorHAnsi" w:cstheme="minorHAnsi"/>
          <w:lang w:val="el-GR" w:bidi="he-IL"/>
        </w:rPr>
        <w:t>σις</w:t>
      </w:r>
      <w:r w:rsidRPr="002D7706">
        <w:rPr>
          <w:rFonts w:asciiTheme="minorHAnsi" w:hAnsiTheme="minorHAnsi" w:cstheme="minorHAnsi"/>
          <w:lang w:val="en-US" w:bidi="he-IL"/>
        </w:rPr>
        <w:t xml:space="preserve"> - </w:t>
      </w:r>
      <w:r w:rsidRPr="002D7706">
        <w:rPr>
          <w:rFonts w:asciiTheme="minorHAnsi" w:hAnsiTheme="minorHAnsi" w:cstheme="minorHAnsi"/>
          <w:i/>
          <w:iCs/>
          <w:lang w:val="en-US" w:bidi="he-IL"/>
        </w:rPr>
        <w:t>phusis</w:t>
      </w:r>
      <w:r w:rsidRPr="002D7706">
        <w:rPr>
          <w:rFonts w:asciiTheme="minorHAnsi" w:hAnsiTheme="minorHAnsi" w:cstheme="minorHAnsi"/>
          <w:lang w:val="en-US"/>
        </w:rPr>
        <w:t xml:space="preserve">) of God, which speaks more of His essence than of the supposed “energies” He manifests. Consequently, this verse does not support, but rather contradicts the theology of theosis.  </w:t>
      </w:r>
      <w:r>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bCs/>
          <w:iCs/>
          <w:lang w:val="en-US" w:eastAsia="en-US" w:bidi="he-IL"/>
        </w:rPr>
      </w:pPr>
      <w:r w:rsidRPr="002D7706">
        <w:rPr>
          <w:rFonts w:asciiTheme="minorHAnsi" w:hAnsiTheme="minorHAnsi" w:cstheme="minorHAnsi"/>
          <w:lang w:val="en-US"/>
        </w:rPr>
        <w:t xml:space="preserve">What is the meaning of </w:t>
      </w:r>
      <w:r w:rsidRPr="002D7706">
        <w:rPr>
          <w:rFonts w:asciiTheme="minorHAnsi" w:hAnsiTheme="minorHAnsi" w:cstheme="minorHAnsi"/>
          <w:lang w:val="el-GR" w:bidi="he-IL"/>
        </w:rPr>
        <w:t>φυ</w:t>
      </w:r>
      <w:r w:rsidRPr="002D7706">
        <w:rPr>
          <w:rFonts w:asciiTheme="minorHAnsi" w:hAnsiTheme="minorHAnsi" w:cstheme="minorHAnsi"/>
          <w:lang w:val="en-US" w:bidi="he-IL"/>
        </w:rPr>
        <w:t>́</w:t>
      </w:r>
      <w:r w:rsidRPr="002D7706">
        <w:rPr>
          <w:rFonts w:asciiTheme="minorHAnsi" w:hAnsiTheme="minorHAnsi" w:cstheme="minorHAnsi"/>
          <w:lang w:val="el-GR" w:bidi="he-IL"/>
        </w:rPr>
        <w:t>σις</w:t>
      </w:r>
      <w:r w:rsidRPr="002D7706">
        <w:rPr>
          <w:rFonts w:asciiTheme="minorHAnsi" w:hAnsiTheme="minorHAnsi" w:cstheme="minorHAnsi"/>
          <w:lang w:val="en-US" w:bidi="he-IL"/>
        </w:rPr>
        <w:t xml:space="preserve"> (</w:t>
      </w:r>
      <w:r w:rsidRPr="002D7706">
        <w:rPr>
          <w:rFonts w:asciiTheme="minorHAnsi" w:hAnsiTheme="minorHAnsi" w:cstheme="minorHAnsi"/>
          <w:i/>
          <w:iCs/>
          <w:lang w:val="en-US" w:bidi="he-IL"/>
        </w:rPr>
        <w:t>phusis</w:t>
      </w:r>
      <w:r w:rsidRPr="002D7706">
        <w:rPr>
          <w:rFonts w:asciiTheme="minorHAnsi" w:hAnsiTheme="minorHAnsi" w:cstheme="minorHAnsi"/>
          <w:lang w:val="en-US" w:bidi="he-IL"/>
        </w:rPr>
        <w:t xml:space="preserve">) </w:t>
      </w:r>
      <w:r w:rsidRPr="002D7706">
        <w:rPr>
          <w:rFonts w:asciiTheme="minorHAnsi" w:hAnsiTheme="minorHAnsi" w:cstheme="minorHAnsi"/>
          <w:lang w:val="en-US"/>
        </w:rPr>
        <w:t>here? The word itself, in this context, refers to “</w:t>
      </w:r>
      <w:r w:rsidRPr="002D7706">
        <w:rPr>
          <w:rFonts w:asciiTheme="minorHAnsi" w:hAnsiTheme="minorHAnsi" w:cstheme="minorHAnsi"/>
          <w:bCs/>
          <w:lang w:val="en-US" w:eastAsia="en-US" w:bidi="he-IL"/>
        </w:rPr>
        <w:t xml:space="preserve">the natural character of an entity, </w:t>
      </w:r>
      <w:r w:rsidRPr="002D7706">
        <w:rPr>
          <w:rFonts w:asciiTheme="minorHAnsi" w:hAnsiTheme="minorHAnsi" w:cstheme="minorHAnsi"/>
          <w:bCs/>
          <w:i/>
          <w:lang w:val="en-US" w:eastAsia="en-US" w:bidi="he-IL"/>
        </w:rPr>
        <w:t>natural characteristic/disposition</w:t>
      </w:r>
      <w:r w:rsidRPr="002D7706">
        <w:rPr>
          <w:rFonts w:asciiTheme="minorHAnsi" w:hAnsiTheme="minorHAnsi" w:cstheme="minorHAnsi"/>
          <w:bCs/>
          <w:iCs/>
          <w:lang w:val="en-US" w:eastAsia="en-US" w:bidi="he-IL"/>
        </w:rPr>
        <w:t>.”</w:t>
      </w:r>
      <w:r w:rsidRPr="007234B4">
        <w:rPr>
          <w:rFonts w:asciiTheme="minorHAnsi" w:hAnsiTheme="minorHAnsi" w:cstheme="minorHAnsi"/>
          <w:vertAlign w:val="superscript"/>
          <w:lang w:val="en-US" w:eastAsia="en-US" w:bidi="he-IL"/>
        </w:rPr>
        <w:footnoteReference w:id="120"/>
      </w:r>
      <w:r w:rsidRPr="002D7706">
        <w:rPr>
          <w:rFonts w:asciiTheme="minorHAnsi" w:hAnsiTheme="minorHAnsi" w:cstheme="minorHAnsi"/>
          <w:bCs/>
          <w:iCs/>
          <w:lang w:val="en-US" w:eastAsia="en-US" w:bidi="he-IL"/>
        </w:rPr>
        <w:t xml:space="preserve"> In relation to God, then, </w:t>
      </w:r>
      <w:r w:rsidRPr="002D7706">
        <w:rPr>
          <w:rFonts w:asciiTheme="minorHAnsi" w:hAnsiTheme="minorHAnsi" w:cstheme="minorHAnsi"/>
          <w:lang w:val="el-GR" w:bidi="he-IL"/>
        </w:rPr>
        <w:t>φυ</w:t>
      </w:r>
      <w:r w:rsidRPr="002D7706">
        <w:rPr>
          <w:rFonts w:asciiTheme="minorHAnsi" w:hAnsiTheme="minorHAnsi" w:cstheme="minorHAnsi"/>
          <w:lang w:val="en-US" w:bidi="he-IL"/>
        </w:rPr>
        <w:t>́</w:t>
      </w:r>
      <w:r w:rsidRPr="002D7706">
        <w:rPr>
          <w:rFonts w:asciiTheme="minorHAnsi" w:hAnsiTheme="minorHAnsi" w:cstheme="minorHAnsi"/>
          <w:lang w:val="el-GR" w:bidi="he-IL"/>
        </w:rPr>
        <w:t>σις</w:t>
      </w:r>
      <w:r w:rsidRPr="002D7706">
        <w:rPr>
          <w:rFonts w:asciiTheme="minorHAnsi" w:hAnsiTheme="minorHAnsi" w:cstheme="minorHAnsi"/>
          <w:lang w:val="en-US" w:bidi="he-IL"/>
        </w:rPr>
        <w:t xml:space="preserve"> (</w:t>
      </w:r>
      <w:r w:rsidRPr="002D7706">
        <w:rPr>
          <w:rFonts w:asciiTheme="minorHAnsi" w:hAnsiTheme="minorHAnsi" w:cstheme="minorHAnsi"/>
          <w:i/>
          <w:iCs/>
          <w:lang w:val="en-US" w:bidi="he-IL"/>
        </w:rPr>
        <w:t>phusis</w:t>
      </w:r>
      <w:r w:rsidRPr="002D7706">
        <w:rPr>
          <w:rFonts w:asciiTheme="minorHAnsi" w:hAnsiTheme="minorHAnsi" w:cstheme="minorHAnsi"/>
          <w:lang w:val="en-US" w:bidi="he-IL"/>
        </w:rPr>
        <w:t>) describes His natural disposition that determines and underlies His actions and the attributes that make those actions possible</w:t>
      </w:r>
      <w:r w:rsidRPr="002D7706">
        <w:rPr>
          <w:rFonts w:asciiTheme="minorHAnsi" w:hAnsiTheme="minorHAnsi" w:cstheme="minorHAnsi"/>
          <w:bCs/>
          <w:iCs/>
          <w:lang w:val="en-US" w:eastAsia="en-US" w:bidi="he-IL"/>
        </w:rPr>
        <w:t xml:space="preserve">.  </w:t>
      </w:r>
    </w:p>
    <w:p w:rsidR="0027038D" w:rsidRPr="002D7706" w:rsidRDefault="0027038D" w:rsidP="0027038D">
      <w:pPr>
        <w:ind w:firstLine="426"/>
        <w:rPr>
          <w:rFonts w:asciiTheme="minorHAnsi" w:hAnsiTheme="minorHAnsi" w:cstheme="minorHAnsi"/>
          <w:bCs/>
          <w:iCs/>
          <w:lang w:val="en-US" w:eastAsia="en-US" w:bidi="he-IL"/>
        </w:rPr>
      </w:pPr>
      <w:r w:rsidRPr="002D7706">
        <w:rPr>
          <w:rFonts w:asciiTheme="minorHAnsi" w:hAnsiTheme="minorHAnsi" w:cstheme="minorHAnsi"/>
          <w:bCs/>
          <w:iCs/>
          <w:lang w:val="en-US" w:eastAsia="en-US" w:bidi="he-IL"/>
        </w:rPr>
        <w:t>What is key here is that Peter does not say that the believers “possess” or “assimilate” the divine nature, but are “participants” (</w:t>
      </w:r>
      <w:r w:rsidRPr="002D7706">
        <w:rPr>
          <w:rFonts w:asciiTheme="minorHAnsi" w:hAnsiTheme="minorHAnsi" w:cstheme="minorHAnsi"/>
          <w:lang w:val="el-GR"/>
        </w:rPr>
        <w:t>κοινωνοὶ</w:t>
      </w:r>
      <w:r w:rsidRPr="002D7706">
        <w:rPr>
          <w:rFonts w:asciiTheme="minorHAnsi" w:hAnsiTheme="minorHAnsi" w:cstheme="minorHAnsi"/>
          <w:lang w:val="en-US"/>
        </w:rPr>
        <w:t xml:space="preserve"> - </w:t>
      </w:r>
      <w:r w:rsidRPr="002D7706">
        <w:rPr>
          <w:rFonts w:asciiTheme="minorHAnsi" w:hAnsiTheme="minorHAnsi" w:cstheme="minorHAnsi"/>
          <w:i/>
          <w:iCs/>
          <w:lang w:val="en-US"/>
        </w:rPr>
        <w:t>koinonoi</w:t>
      </w:r>
      <w:r w:rsidRPr="002D7706">
        <w:rPr>
          <w:rFonts w:asciiTheme="minorHAnsi" w:hAnsiTheme="minorHAnsi" w:cstheme="minorHAnsi"/>
          <w:bCs/>
          <w:iCs/>
          <w:lang w:val="en-US" w:eastAsia="en-US" w:bidi="he-IL"/>
        </w:rPr>
        <w:t>) in it. This corresponds to our discussion above concerning “God-likeness.” By virtue of the indwelling Spirit, the believer can participate in the divine disposition and manifest those attributes that Paul calls the “fruit of the Spirit.”</w:t>
      </w:r>
      <w:r w:rsidRPr="007234B4">
        <w:rPr>
          <w:rStyle w:val="FootnoteReference"/>
          <w:rFonts w:asciiTheme="minorHAnsi" w:hAnsiTheme="minorHAnsi" w:cstheme="minorHAnsi"/>
          <w:bCs/>
          <w:iCs/>
          <w:lang w:val="en-US" w:eastAsia="en-US" w:bidi="he-IL"/>
        </w:rPr>
        <w:footnoteReference w:id="121"/>
      </w:r>
      <w:r w:rsidRPr="002D7706">
        <w:rPr>
          <w:rFonts w:asciiTheme="minorHAnsi" w:hAnsiTheme="minorHAnsi" w:cstheme="minorHAnsi"/>
          <w:bCs/>
          <w:iCs/>
          <w:lang w:val="en-US" w:eastAsia="en-US" w:bidi="he-IL"/>
        </w:rPr>
        <w:t xml:space="preserve"> Correspondingly, immediately after this verse Peter enumerates a list of virtues nearly identical to Paul's in Gal</w:t>
      </w:r>
      <w:r>
        <w:rPr>
          <w:rFonts w:asciiTheme="minorHAnsi" w:hAnsiTheme="minorHAnsi" w:cstheme="minorHAnsi"/>
          <w:bCs/>
          <w:iCs/>
          <w:lang w:val="en-US" w:eastAsia="en-US" w:bidi="he-IL"/>
        </w:rPr>
        <w:t>atians</w:t>
      </w:r>
      <w:r w:rsidRPr="002D7706">
        <w:rPr>
          <w:rFonts w:asciiTheme="minorHAnsi" w:hAnsiTheme="minorHAnsi" w:cstheme="minorHAnsi"/>
          <w:bCs/>
          <w:iCs/>
          <w:lang w:val="en-US" w:eastAsia="en-US" w:bidi="he-IL"/>
        </w:rPr>
        <w:t xml:space="preserve"> 5:22-23. Starr, in his study on 2 Pet</w:t>
      </w:r>
      <w:r>
        <w:rPr>
          <w:rFonts w:asciiTheme="minorHAnsi" w:hAnsiTheme="minorHAnsi" w:cstheme="minorHAnsi"/>
          <w:bCs/>
          <w:iCs/>
          <w:lang w:val="en-US" w:eastAsia="en-US" w:bidi="he-IL"/>
        </w:rPr>
        <w:t>er</w:t>
      </w:r>
      <w:r w:rsidRPr="002D7706">
        <w:rPr>
          <w:rFonts w:asciiTheme="minorHAnsi" w:hAnsiTheme="minorHAnsi" w:cstheme="minorHAnsi"/>
          <w:bCs/>
          <w:iCs/>
          <w:lang w:val="en-US" w:eastAsia="en-US" w:bidi="he-IL"/>
        </w:rPr>
        <w:t xml:space="preserve"> 1:4, reaches a similar conclusion: “</w:t>
      </w:r>
      <w:r w:rsidRPr="002D7706">
        <w:rPr>
          <w:rFonts w:asciiTheme="minorHAnsi" w:hAnsiTheme="minorHAnsi" w:cstheme="minorHAnsi"/>
          <w:lang w:val="en-US"/>
        </w:rPr>
        <w:t xml:space="preserve">2 Peter is not speaking in 1:4 of </w:t>
      </w:r>
      <w:r w:rsidRPr="002D7706">
        <w:rPr>
          <w:rFonts w:asciiTheme="minorHAnsi" w:hAnsiTheme="minorHAnsi" w:cstheme="minorHAnsi"/>
          <w:i/>
          <w:iCs/>
          <w:lang w:val="en-US"/>
        </w:rPr>
        <w:t>apotheosis</w:t>
      </w:r>
      <w:r w:rsidRPr="002D7706">
        <w:rPr>
          <w:rFonts w:asciiTheme="minorHAnsi" w:hAnsiTheme="minorHAnsi" w:cstheme="minorHAnsi"/>
          <w:lang w:val="en-US"/>
        </w:rPr>
        <w:t xml:space="preserve"> in the sense of becoming a part of God’s essence or ceasing to be human, but of the partaking in specific divine attributes, seen perfectly in Christ</w:t>
      </w:r>
      <w:r w:rsidRPr="002D7706">
        <w:rPr>
          <w:rFonts w:asciiTheme="minorHAnsi" w:hAnsiTheme="minorHAnsi" w:cstheme="minorHAnsi"/>
          <w:bCs/>
          <w:iCs/>
          <w:lang w:val="en-US" w:eastAsia="en-US" w:bidi="he-IL"/>
        </w:rPr>
        <w:t>.”</w:t>
      </w:r>
      <w:r w:rsidRPr="007234B4">
        <w:rPr>
          <w:rStyle w:val="FootnoteReference"/>
          <w:rFonts w:asciiTheme="minorHAnsi" w:hAnsiTheme="minorHAnsi" w:cstheme="minorHAnsi"/>
        </w:rPr>
        <w:footnoteReference w:id="122"/>
      </w:r>
      <w:r w:rsidRPr="002D7706">
        <w:rPr>
          <w:rFonts w:asciiTheme="minorHAnsi" w:hAnsiTheme="minorHAnsi" w:cstheme="minorHAnsi"/>
          <w:bCs/>
          <w:iCs/>
          <w:lang w:val="en-US" w:eastAsia="en-US" w:bidi="he-IL"/>
        </w:rPr>
        <w:t xml:space="preserve"> </w:t>
      </w:r>
    </w:p>
    <w:p w:rsidR="0027038D" w:rsidRPr="002D7706" w:rsidRDefault="0027038D" w:rsidP="0027038D">
      <w:pPr>
        <w:ind w:firstLine="426"/>
        <w:rPr>
          <w:rFonts w:asciiTheme="minorHAnsi" w:hAnsiTheme="minorHAnsi" w:cstheme="minorHAnsi"/>
          <w:lang w:val="en-US"/>
        </w:rPr>
      </w:pPr>
      <w:r w:rsidRPr="002D7706">
        <w:rPr>
          <w:rFonts w:asciiTheme="minorHAnsi" w:hAnsiTheme="minorHAnsi" w:cstheme="minorHAnsi"/>
          <w:bCs/>
          <w:iCs/>
          <w:lang w:val="en-US" w:eastAsia="en-US" w:bidi="he-IL"/>
        </w:rPr>
        <w:t>In conclusion, James Dunn gives the following counsel. Even if one was to concede that 2 Pet</w:t>
      </w:r>
      <w:r>
        <w:rPr>
          <w:rFonts w:asciiTheme="minorHAnsi" w:hAnsiTheme="minorHAnsi" w:cstheme="minorHAnsi"/>
          <w:bCs/>
          <w:iCs/>
          <w:lang w:val="en-US" w:eastAsia="en-US" w:bidi="he-IL"/>
        </w:rPr>
        <w:t>er</w:t>
      </w:r>
      <w:r w:rsidRPr="002D7706">
        <w:rPr>
          <w:rFonts w:asciiTheme="minorHAnsi" w:hAnsiTheme="minorHAnsi" w:cstheme="minorHAnsi"/>
          <w:bCs/>
          <w:iCs/>
          <w:lang w:val="en-US" w:eastAsia="en-US" w:bidi="he-IL"/>
        </w:rPr>
        <w:t xml:space="preserve"> 1:4 actually spoke of assimilating God’s nature, Dunn warns: “</w:t>
      </w:r>
      <w:r w:rsidRPr="002D7706">
        <w:rPr>
          <w:rFonts w:asciiTheme="minorHAnsi" w:hAnsiTheme="minorHAnsi" w:cstheme="minorHAnsi"/>
          <w:lang w:val="en-US"/>
        </w:rPr>
        <w:t>I find myself hesitant about making too much of the theosis theme. It is rather limited as a theme in the New Testament itself, and I hesitate to build so much on a single verse within the New Testament document nearest to the edge of the New Testament canon: 2 Peter 1:4.”</w:t>
      </w:r>
      <w:r w:rsidRPr="007234B4">
        <w:rPr>
          <w:rStyle w:val="FootnoteReference"/>
          <w:rFonts w:asciiTheme="minorHAnsi" w:eastAsia="MS Mincho" w:hAnsiTheme="minorHAnsi" w:cstheme="minorHAnsi"/>
          <w:lang w:eastAsia="ja-JP"/>
        </w:rPr>
        <w:footnoteReference w:id="123"/>
      </w:r>
      <w:r w:rsidRPr="002D7706">
        <w:rPr>
          <w:rFonts w:asciiTheme="minorHAnsi" w:hAnsiTheme="minorHAnsi" w:cstheme="minorHAnsi"/>
          <w:lang w:val="en-US"/>
        </w:rPr>
        <w:t xml:space="preserve"> </w:t>
      </w:r>
    </w:p>
    <w:p w:rsidR="0027038D" w:rsidRPr="002D7706" w:rsidRDefault="0027038D" w:rsidP="0027038D">
      <w:pPr>
        <w:ind w:firstLine="426"/>
        <w:rPr>
          <w:rFonts w:asciiTheme="minorHAnsi" w:hAnsiTheme="minorHAnsi" w:cstheme="minorHAnsi"/>
          <w:iCs/>
          <w:lang w:val="en-US" w:eastAsia="en-US" w:bidi="he-IL"/>
        </w:rPr>
      </w:pPr>
      <w:r w:rsidRPr="002D7706">
        <w:rPr>
          <w:rFonts w:asciiTheme="minorHAnsi" w:hAnsiTheme="minorHAnsi" w:cstheme="minorHAnsi"/>
          <w:lang w:val="en-US" w:bidi="he-IL"/>
        </w:rPr>
        <w:t>Of the remaining verses cited earlier in defense of theosis, only 1 Cor</w:t>
      </w:r>
      <w:r>
        <w:rPr>
          <w:rFonts w:asciiTheme="minorHAnsi" w:hAnsiTheme="minorHAnsi" w:cstheme="minorHAnsi"/>
          <w:lang w:val="en-US" w:bidi="he-IL"/>
        </w:rPr>
        <w:t>inthians</w:t>
      </w:r>
      <w:r w:rsidRPr="002D7706">
        <w:rPr>
          <w:rFonts w:asciiTheme="minorHAnsi" w:hAnsiTheme="minorHAnsi" w:cstheme="minorHAnsi"/>
          <w:lang w:val="en-US" w:bidi="he-IL"/>
        </w:rPr>
        <w:t xml:space="preserve"> 6:17 presents a significant challenge. Here we read, “</w:t>
      </w:r>
      <w:r w:rsidRPr="002D7706">
        <w:rPr>
          <w:rFonts w:asciiTheme="minorHAnsi" w:hAnsiTheme="minorHAnsi" w:cstheme="minorHAnsi"/>
          <w:lang w:val="en-US" w:eastAsia="en-US" w:bidi="he-IL"/>
        </w:rPr>
        <w:t xml:space="preserve">The one who joins himself to the Lord is one spirit </w:t>
      </w:r>
      <w:r w:rsidRPr="00CD1831">
        <w:rPr>
          <w:rFonts w:asciiTheme="minorHAnsi" w:hAnsiTheme="minorHAnsi" w:cstheme="minorHAnsi"/>
          <w:iCs/>
          <w:lang w:val="en-US" w:eastAsia="en-US" w:bidi="he-IL"/>
        </w:rPr>
        <w:t>{with Him}</w:t>
      </w:r>
      <w:r w:rsidRPr="002D7706">
        <w:rPr>
          <w:rFonts w:asciiTheme="minorHAnsi" w:hAnsiTheme="minorHAnsi" w:cstheme="minorHAnsi"/>
          <w:i/>
          <w:lang w:val="en-US" w:eastAsia="en-US" w:bidi="he-IL"/>
        </w:rPr>
        <w:t>.</w:t>
      </w:r>
      <w:r w:rsidRPr="002D7706">
        <w:rPr>
          <w:rFonts w:asciiTheme="minorHAnsi" w:hAnsiTheme="minorHAnsi" w:cstheme="minorHAnsi"/>
          <w:lang w:val="en-US" w:bidi="he-IL"/>
        </w:rPr>
        <w:t>” Comparing this verse with the previous one reveals a clear parallel: “</w:t>
      </w:r>
      <w:r w:rsidRPr="002D7706">
        <w:rPr>
          <w:rFonts w:asciiTheme="minorHAnsi" w:hAnsiTheme="minorHAnsi" w:cstheme="minorHAnsi"/>
          <w:lang w:val="en-US" w:eastAsia="en-US" w:bidi="he-IL"/>
        </w:rPr>
        <w:t xml:space="preserve">Or do you not know that the one who joins himself to a prostitute is one body </w:t>
      </w:r>
      <w:r w:rsidRPr="00AE5206">
        <w:rPr>
          <w:rFonts w:asciiTheme="minorHAnsi" w:hAnsiTheme="minorHAnsi" w:cstheme="minorHAnsi"/>
          <w:iCs/>
          <w:lang w:val="en-US" w:eastAsia="en-US" w:bidi="he-IL"/>
        </w:rPr>
        <w:t>{with her}</w:t>
      </w:r>
      <w:r w:rsidRPr="00972365">
        <w:rPr>
          <w:rFonts w:asciiTheme="minorHAnsi" w:hAnsiTheme="minorHAnsi" w:cstheme="minorHAnsi"/>
          <w:iCs/>
          <w:lang w:val="en-US" w:eastAsia="en-US" w:bidi="he-IL"/>
        </w:rPr>
        <w:t>?</w:t>
      </w:r>
      <w:r w:rsidRPr="002D7706">
        <w:rPr>
          <w:rFonts w:asciiTheme="minorHAnsi" w:hAnsiTheme="minorHAnsi" w:cstheme="minorHAnsi"/>
          <w:iCs/>
          <w:lang w:val="en-US" w:eastAsia="en-US" w:bidi="he-IL"/>
        </w:rPr>
        <w:t xml:space="preserve"> </w:t>
      </w:r>
      <w:r w:rsidRPr="002D7706">
        <w:rPr>
          <w:rFonts w:asciiTheme="minorHAnsi" w:hAnsiTheme="minorHAnsi" w:cstheme="minorHAnsi"/>
          <w:lang w:val="en-US" w:eastAsia="en-US" w:bidi="he-IL"/>
        </w:rPr>
        <w:t>For He says, ‘The two shall become one flesh</w:t>
      </w:r>
      <w:r w:rsidRPr="002D7706">
        <w:rPr>
          <w:rFonts w:asciiTheme="minorHAnsi" w:hAnsiTheme="minorHAnsi" w:cstheme="minorHAnsi"/>
          <w:smallCaps/>
          <w:lang w:val="en-US" w:eastAsia="en-US" w:bidi="he-IL"/>
        </w:rPr>
        <w:t>’</w:t>
      </w:r>
      <w:r w:rsidRPr="002D7706">
        <w:rPr>
          <w:rFonts w:asciiTheme="minorHAnsi" w:hAnsiTheme="minorHAnsi" w:cstheme="minorHAnsi"/>
          <w:lang w:val="en-US" w:eastAsia="en-US" w:bidi="he-IL"/>
        </w:rPr>
        <w:t xml:space="preserve">.” </w:t>
      </w:r>
      <w:r w:rsidRPr="002D7706">
        <w:rPr>
          <w:rFonts w:asciiTheme="minorHAnsi" w:hAnsiTheme="minorHAnsi" w:cstheme="minorHAnsi"/>
          <w:iCs/>
          <w:lang w:val="en-US" w:eastAsia="en-US" w:bidi="he-IL"/>
        </w:rPr>
        <w:t>Even the same word is used for “joined” (</w:t>
      </w:r>
      <w:r w:rsidRPr="002D7706">
        <w:rPr>
          <w:rFonts w:asciiTheme="minorHAnsi" w:hAnsiTheme="minorHAnsi" w:cstheme="minorHAnsi"/>
          <w:lang w:val="el-GR"/>
        </w:rPr>
        <w:t>κολλω</w:t>
      </w:r>
      <w:r w:rsidRPr="002D7706">
        <w:rPr>
          <w:rFonts w:asciiTheme="minorHAnsi" w:hAnsiTheme="minorHAnsi" w:cstheme="minorHAnsi"/>
          <w:lang w:val="en-US"/>
        </w:rPr>
        <w:t>́</w:t>
      </w:r>
      <w:r w:rsidRPr="002D7706">
        <w:rPr>
          <w:rFonts w:asciiTheme="minorHAnsi" w:hAnsiTheme="minorHAnsi" w:cstheme="minorHAnsi"/>
          <w:lang w:val="el-GR"/>
        </w:rPr>
        <w:t>μενος</w:t>
      </w:r>
      <w:r w:rsidRPr="002D7706">
        <w:rPr>
          <w:rFonts w:asciiTheme="minorHAnsi" w:hAnsiTheme="minorHAnsi" w:cstheme="minorHAnsi"/>
          <w:lang w:val="en-US"/>
        </w:rPr>
        <w:t xml:space="preserve"> - </w:t>
      </w:r>
      <w:r w:rsidRPr="002D7706">
        <w:rPr>
          <w:rFonts w:asciiTheme="minorHAnsi" w:hAnsiTheme="minorHAnsi" w:cstheme="minorHAnsi"/>
          <w:i/>
          <w:iCs/>
          <w:lang w:val="en-US"/>
        </w:rPr>
        <w:t>kollomenos</w:t>
      </w:r>
      <w:r w:rsidRPr="002D7706">
        <w:rPr>
          <w:rFonts w:asciiTheme="minorHAnsi" w:hAnsiTheme="minorHAnsi" w:cstheme="minorHAnsi"/>
          <w:iCs/>
          <w:lang w:val="en-US" w:eastAsia="en-US" w:bidi="he-IL"/>
        </w:rPr>
        <w:t xml:space="preserve">).  </w:t>
      </w:r>
    </w:p>
    <w:p w:rsidR="0027038D" w:rsidRPr="002D7706" w:rsidRDefault="0027038D" w:rsidP="0027038D">
      <w:pPr>
        <w:ind w:firstLine="426"/>
        <w:rPr>
          <w:rFonts w:asciiTheme="minorHAnsi" w:hAnsiTheme="minorHAnsi" w:cstheme="minorHAnsi"/>
          <w:iCs/>
          <w:lang w:val="en-US" w:eastAsia="en-US" w:bidi="he-IL"/>
        </w:rPr>
      </w:pPr>
      <w:r w:rsidRPr="002D7706">
        <w:rPr>
          <w:rFonts w:asciiTheme="minorHAnsi" w:hAnsiTheme="minorHAnsi" w:cstheme="minorHAnsi"/>
          <w:iCs/>
          <w:lang w:val="en-US" w:eastAsia="en-US" w:bidi="he-IL"/>
        </w:rPr>
        <w:t xml:space="preserve">When a man joins himself to a harlot, they become “one flesh” not in a physical sense, but a metaphorical one. In other words, they enjoy a special intimacy with each other. In the same way, becoming “one spirit” with the Lord does not involve an assimilation of divine nature, but implies intimate spiritual fellowship with the Person of the Holy Spirit.  </w:t>
      </w:r>
    </w:p>
    <w:p w:rsidR="0027038D" w:rsidRPr="002D7706" w:rsidRDefault="0027038D" w:rsidP="0027038D">
      <w:pPr>
        <w:ind w:firstLine="426"/>
        <w:rPr>
          <w:rFonts w:asciiTheme="minorHAnsi" w:hAnsiTheme="minorHAnsi" w:cstheme="minorHAnsi"/>
          <w:iCs/>
          <w:lang w:val="en-US" w:eastAsia="en-US" w:bidi="he-IL"/>
        </w:rPr>
      </w:pPr>
      <w:r w:rsidRPr="002D7706">
        <w:rPr>
          <w:rFonts w:asciiTheme="minorHAnsi" w:hAnsiTheme="minorHAnsi" w:cstheme="minorHAnsi"/>
          <w:iCs/>
          <w:lang w:val="en-US" w:eastAsia="en-US" w:bidi="he-IL"/>
        </w:rPr>
        <w:t>In addition, we need make mention of the long held tradition among the Fathers that God’s image in humans differs from His likeness: the former referring to some natural, inborn characteristic, and the latter – to the moral quality of one’s life. The formula “image and likeness” is clearly an example of Hebrew poetry where an identical thought is repeated twice, but is expressed in different words. Otherwise, how could one explain the instances, where “image” is used not in a natural, but moral sense (Rom 8:29; 2 Cor 3:18; Col 3:10), and “likeness” is used not in a moral, but a natural sense (Jam 3:9)?</w:t>
      </w:r>
    </w:p>
    <w:p w:rsidR="0027038D" w:rsidRPr="002D7706" w:rsidRDefault="0027038D" w:rsidP="0027038D">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In conclusion, we will give special attention to the mechanism of theosis, that is, the mediatorial effect of the Son’s incarnation. It is important here to note that the New Testament nowhere speaks of the incarnation as a direct means of salvation. It is never presented, as poetically pleasing as it may sound, as a “descent” of God that makes the “ascent” of people possible.  </w:t>
      </w:r>
    </w:p>
    <w:p w:rsidR="0027038D" w:rsidRPr="002D7706" w:rsidRDefault="0027038D" w:rsidP="0027038D">
      <w:pPr>
        <w:ind w:firstLine="426"/>
        <w:rPr>
          <w:rFonts w:asciiTheme="minorHAnsi" w:hAnsiTheme="minorHAnsi" w:cstheme="minorHAnsi"/>
          <w:lang w:val="en-US" w:bidi="he-IL"/>
        </w:rPr>
      </w:pPr>
      <w:r w:rsidRPr="002D7706">
        <w:rPr>
          <w:rFonts w:asciiTheme="minorHAnsi" w:hAnsiTheme="minorHAnsi" w:cstheme="minorHAnsi"/>
          <w:lang w:val="en-US" w:bidi="he-IL"/>
        </w:rPr>
        <w:t>Several passages of Scripture make clear the purpose of the incarnation. Prominent among them is Hebrews 2:14-18, which we will quote in its entirety:</w:t>
      </w:r>
    </w:p>
    <w:p w:rsidR="0027038D" w:rsidRPr="002D7706" w:rsidRDefault="0027038D" w:rsidP="0027038D">
      <w:pPr>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rPr>
      </w:pPr>
      <w:r w:rsidRPr="002D7706">
        <w:rPr>
          <w:rFonts w:asciiTheme="minorHAnsi" w:hAnsiTheme="minorHAnsi" w:cstheme="minorHAnsi"/>
          <w:lang w:val="en-US"/>
        </w:rPr>
        <w:t>Therefore, since the children share in flesh and blood, He Himself likewise also partook of the same, that through death He might render powerless him who had the power of death, that is, the devil, and might free those who through fear of death were subject to slavery all their lives. For assuredly He does not give help to angels, but He gives help to the descendant of Abraham. Therefore, He had to be made like His brethren in all things, so that He might become a merciful and faithful high priest in things pertaining to God, to make propitiation for the sins of the people. For since He Himself was tempted in that which He has suffered, He is able to come to the aid of those who are tempted.</w:t>
      </w:r>
    </w:p>
    <w:p w:rsidR="0027038D" w:rsidRPr="002D7706" w:rsidRDefault="0027038D" w:rsidP="0027038D">
      <w:pPr>
        <w:ind w:left="720"/>
        <w:rPr>
          <w:rFonts w:asciiTheme="minorHAnsi" w:hAnsiTheme="minorHAnsi" w:cstheme="minorHAnsi"/>
          <w:lang w:val="en-US"/>
        </w:rPr>
      </w:pP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 xml:space="preserve">Of the several benefits of the incarnation to the believer mentioned here, the author says nothing about theosis. The primary purpose of the incarnation, of course, is so that Christ could be “a merciful and faithful high priest in things pertaining to God, to make propitiation for the sins of the people.” Thus, the focus shifts away from the incarnation as the saving act to the cross, where Christ truly accomplished salvation.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 xml:space="preserve">Paul also connects the incarnation with Christ’s redemptive work on Calvary. He writes, “Being found in appearance as a man, He humbled Himself by becoming obedient to the point of death, even death on a cross” (Phil 2:8). Here again, the Son became man in order to becoming a substitutionary sacrifice for the sins of the world.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bidi="he-IL"/>
        </w:rPr>
        <w:t>In respect to Christ’s mediatorial function, it goes unquestioned that “</w:t>
      </w:r>
      <w:r w:rsidRPr="002D7706">
        <w:rPr>
          <w:rFonts w:asciiTheme="minorHAnsi" w:hAnsiTheme="minorHAnsi" w:cstheme="minorHAnsi"/>
          <w:lang w:val="en-US" w:eastAsia="en-US" w:bidi="he-IL"/>
        </w:rPr>
        <w:t xml:space="preserve">there is one God, </w:t>
      </w:r>
      <w:r>
        <w:rPr>
          <w:rFonts w:asciiTheme="minorHAnsi" w:hAnsiTheme="minorHAnsi" w:cstheme="minorHAnsi"/>
          <w:lang w:val="en-US" w:eastAsia="en-US" w:bidi="he-IL"/>
        </w:rPr>
        <w:t>{</w:t>
      </w:r>
      <w:r w:rsidRPr="00972365">
        <w:rPr>
          <w:rFonts w:asciiTheme="minorHAnsi" w:hAnsiTheme="minorHAnsi" w:cstheme="minorHAnsi"/>
          <w:iCs/>
          <w:lang w:val="en-US" w:eastAsia="en-US" w:bidi="he-IL"/>
        </w:rPr>
        <w:t>and</w:t>
      </w:r>
      <w:r>
        <w:rPr>
          <w:rFonts w:asciiTheme="minorHAnsi" w:hAnsiTheme="minorHAnsi" w:cstheme="minorHAnsi"/>
          <w:iCs/>
          <w:lang w:val="en-US" w:eastAsia="en-US" w:bidi="he-IL"/>
        </w:rPr>
        <w:t>}</w:t>
      </w:r>
      <w:r w:rsidRPr="002D7706">
        <w:rPr>
          <w:rFonts w:asciiTheme="minorHAnsi" w:hAnsiTheme="minorHAnsi" w:cstheme="minorHAnsi"/>
          <w:lang w:val="en-US" w:eastAsia="en-US" w:bidi="he-IL"/>
        </w:rPr>
        <w:t xml:space="preserve"> one mediator also between God and men, </w:t>
      </w:r>
      <w:r>
        <w:rPr>
          <w:rFonts w:asciiTheme="minorHAnsi" w:hAnsiTheme="minorHAnsi" w:cstheme="minorHAnsi"/>
          <w:lang w:val="en-US" w:eastAsia="en-US" w:bidi="he-IL"/>
        </w:rPr>
        <w:t>{</w:t>
      </w:r>
      <w:r w:rsidRPr="00972365">
        <w:rPr>
          <w:rFonts w:asciiTheme="minorHAnsi" w:hAnsiTheme="minorHAnsi" w:cstheme="minorHAnsi"/>
          <w:iCs/>
          <w:lang w:val="en-US" w:eastAsia="en-US" w:bidi="he-IL"/>
        </w:rPr>
        <w:t>the</w:t>
      </w:r>
      <w:r>
        <w:rPr>
          <w:rFonts w:asciiTheme="minorHAnsi" w:hAnsiTheme="minorHAnsi" w:cstheme="minorHAnsi"/>
          <w:iCs/>
          <w:lang w:val="en-US" w:eastAsia="en-US" w:bidi="he-IL"/>
        </w:rPr>
        <w:t>}</w:t>
      </w:r>
      <w:r w:rsidRPr="002D7706">
        <w:rPr>
          <w:rFonts w:asciiTheme="minorHAnsi" w:hAnsiTheme="minorHAnsi" w:cstheme="minorHAnsi"/>
          <w:lang w:val="en-US" w:eastAsia="en-US" w:bidi="he-IL"/>
        </w:rPr>
        <w:t xml:space="preserve"> man Christ Jesus” (1 Tim 2:5). Yet we must distinguish between soteriological and ontological mediation. The Bible clearly affirms the former, but not the latter. In other words, Christ is truly the Mediator between a holy God and sinful people (soteriological mediation), but does not serve as an “ontological bridge” between the Divine and humans natures, so that the latter can assimilate the former. </w:t>
      </w: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rPr>
        <w:t>As mentioned above, the idea that Christ assumed a “generic” human nature that is somehow organically connected with the personal human nature of all people is clearly borrowed from the platonic “universals-particulars” paradigm and unsubstantiated by Scripture. Gross confirms, “</w:t>
      </w:r>
      <w:r w:rsidRPr="002D7706">
        <w:rPr>
          <w:rFonts w:asciiTheme="minorHAnsi" w:hAnsiTheme="minorHAnsi" w:cstheme="minorHAnsi"/>
          <w:lang w:val="en-US" w:bidi="he-IL"/>
        </w:rPr>
        <w:t>The Platonic origin of this realism is hardly questionable.”</w:t>
      </w:r>
      <w:r w:rsidRPr="007234B4">
        <w:rPr>
          <w:rStyle w:val="FootnoteReference"/>
          <w:rFonts w:asciiTheme="minorHAnsi" w:eastAsia="MS Mincho" w:hAnsiTheme="minorHAnsi" w:cstheme="minorHAnsi"/>
          <w:lang w:eastAsia="ja-JP"/>
        </w:rPr>
        <w:footnoteReference w:id="124"/>
      </w:r>
      <w:r w:rsidRPr="002D7706">
        <w:rPr>
          <w:rFonts w:asciiTheme="minorHAnsi" w:hAnsiTheme="minorHAnsi" w:cstheme="minorHAnsi"/>
          <w:lang w:val="en-US" w:bidi="he-IL"/>
        </w:rPr>
        <w:t xml:space="preserve"> </w:t>
      </w:r>
    </w:p>
    <w:p w:rsidR="0027038D" w:rsidRPr="002D7706" w:rsidRDefault="0027038D" w:rsidP="0027038D">
      <w:pPr>
        <w:ind w:firstLine="450"/>
        <w:rPr>
          <w:rFonts w:asciiTheme="minorHAnsi" w:hAnsiTheme="minorHAnsi" w:cstheme="minorHAnsi"/>
          <w:lang w:val="en-US"/>
        </w:rPr>
      </w:pPr>
      <w:r w:rsidRPr="002D7706">
        <w:rPr>
          <w:rFonts w:asciiTheme="minorHAnsi" w:hAnsiTheme="minorHAnsi" w:cstheme="minorHAnsi"/>
          <w:lang w:val="en-US"/>
        </w:rPr>
        <w:t>As noted earlier, proponents of theosis claim that this phenomenon is shrouded in mystery and, therefore, no one can fully define it. This claim is consistent with apophatic theology, which adherents of theosis also embrace.</w:t>
      </w:r>
      <w:r w:rsidRPr="007234B4">
        <w:rPr>
          <w:rStyle w:val="FootnoteReference"/>
          <w:rFonts w:asciiTheme="minorHAnsi" w:hAnsiTheme="minorHAnsi" w:cstheme="minorHAnsi"/>
        </w:rPr>
        <w:footnoteReference w:id="125"/>
      </w:r>
      <w:r w:rsidRPr="002D7706">
        <w:rPr>
          <w:rFonts w:asciiTheme="minorHAnsi" w:hAnsiTheme="minorHAnsi" w:cstheme="minorHAnsi"/>
          <w:lang w:val="en-US"/>
        </w:rPr>
        <w:t xml:space="preserve"> However, theosis cannot use apophatism as a shield against critical analysis. If a concept cannot be defined, then it cannot be either refuted or supported. An appeal to apophatism nullifies not only any arguments advanced against it, but also any proofs offered for it.</w:t>
      </w:r>
    </w:p>
    <w:p w:rsidR="0027038D" w:rsidRPr="002D7706" w:rsidRDefault="0027038D" w:rsidP="0027038D">
      <w:pPr>
        <w:ind w:firstLine="450"/>
        <w:rPr>
          <w:rFonts w:asciiTheme="minorHAnsi" w:hAnsiTheme="minorHAnsi" w:cstheme="minorHAnsi"/>
          <w:bCs/>
          <w:lang w:val="en-US"/>
        </w:rPr>
      </w:pPr>
      <w:r w:rsidRPr="002D7706">
        <w:rPr>
          <w:rFonts w:asciiTheme="minorHAnsi" w:hAnsiTheme="minorHAnsi" w:cstheme="minorHAnsi"/>
          <w:bCs/>
          <w:lang w:val="en-US"/>
        </w:rPr>
        <w:t xml:space="preserve">Finally, and possibly most devastating to the theosis doctrine, is the Chalcedonian definition of the interplay between Christ’s divine and human natures, since Orthodoxy holds tenaciously to the definitions of the first seven Ecumenical Councils. Chalcedon clearly recognizes: </w:t>
      </w:r>
    </w:p>
    <w:p w:rsidR="0027038D" w:rsidRPr="002D7706" w:rsidRDefault="0027038D" w:rsidP="0027038D">
      <w:pPr>
        <w:ind w:firstLine="360"/>
        <w:rPr>
          <w:rFonts w:asciiTheme="minorHAnsi" w:hAnsiTheme="minorHAnsi" w:cstheme="minorHAnsi"/>
          <w:lang w:val="en-US"/>
        </w:rPr>
      </w:pPr>
    </w:p>
    <w:p w:rsidR="0027038D" w:rsidRPr="002D7706" w:rsidRDefault="0027038D" w:rsidP="0027038D">
      <w:pPr>
        <w:ind w:left="720"/>
        <w:rPr>
          <w:rFonts w:asciiTheme="minorHAnsi" w:hAnsiTheme="minorHAnsi" w:cstheme="minorHAnsi"/>
          <w:lang w:val="en-US" w:eastAsia="en-US" w:bidi="he-IL"/>
        </w:rPr>
      </w:pPr>
      <w:r w:rsidRPr="002D7706">
        <w:rPr>
          <w:rFonts w:asciiTheme="minorHAnsi" w:hAnsiTheme="minorHAnsi" w:cstheme="minorHAnsi"/>
          <w:lang w:val="en-US" w:eastAsia="en-US" w:bidi="he-IL"/>
        </w:rPr>
        <w:t>…Christ Son Lord Only-Begotten, recognized as being in two natures without confusion, without mutation, without division, without separation, the difference of natures being in no way suppressed because of the union, the property of each of the natures being rather safeguarded and running towards the formation of one sole person (</w:t>
      </w:r>
      <w:r w:rsidRPr="002D7706">
        <w:rPr>
          <w:rFonts w:asciiTheme="minorHAnsi" w:hAnsiTheme="minorHAnsi" w:cstheme="minorHAnsi"/>
          <w:i/>
          <w:lang w:val="en-US" w:eastAsia="en-US" w:bidi="he-IL"/>
        </w:rPr>
        <w:t>prosopon</w:t>
      </w:r>
      <w:r w:rsidRPr="002D7706">
        <w:rPr>
          <w:rFonts w:asciiTheme="minorHAnsi" w:hAnsiTheme="minorHAnsi" w:cstheme="minorHAnsi"/>
          <w:lang w:val="en-US" w:eastAsia="en-US" w:bidi="he-IL"/>
        </w:rPr>
        <w:t>) and one sole hypostasis…</w:t>
      </w:r>
      <w:r w:rsidRPr="007234B4">
        <w:rPr>
          <w:rStyle w:val="FootnoteReference"/>
          <w:rFonts w:asciiTheme="minorHAnsi" w:hAnsiTheme="minorHAnsi" w:cstheme="minorHAnsi"/>
          <w:lang w:val="en-US" w:eastAsia="en-US" w:bidi="he-IL"/>
        </w:rPr>
        <w:footnoteReference w:id="126"/>
      </w:r>
    </w:p>
    <w:p w:rsidR="0027038D" w:rsidRPr="002D7706" w:rsidRDefault="0027038D" w:rsidP="0027038D">
      <w:pPr>
        <w:rPr>
          <w:rFonts w:asciiTheme="minorHAnsi" w:hAnsiTheme="minorHAnsi" w:cstheme="minorHAnsi"/>
          <w:lang w:val="en-US" w:eastAsia="en-US" w:bidi="he-IL"/>
        </w:rPr>
      </w:pPr>
    </w:p>
    <w:p w:rsidR="0027038D" w:rsidRPr="002D7706" w:rsidRDefault="0027038D" w:rsidP="0027038D">
      <w:pPr>
        <w:ind w:firstLine="450"/>
        <w:rPr>
          <w:rFonts w:asciiTheme="minorHAnsi" w:hAnsiTheme="minorHAnsi" w:cstheme="minorHAnsi"/>
          <w:sz w:val="28"/>
          <w:szCs w:val="28"/>
          <w:lang w:val="en-US"/>
        </w:rPr>
      </w:pPr>
      <w:r w:rsidRPr="002D7706">
        <w:rPr>
          <w:rFonts w:asciiTheme="minorHAnsi" w:hAnsiTheme="minorHAnsi" w:cstheme="minorHAnsi"/>
          <w:lang w:val="en-US" w:eastAsia="en-US" w:bidi="he-IL"/>
        </w:rPr>
        <w:t xml:space="preserve">Here we note that the natures are “without confusion, without mutation” and that “property of each of the natures being rather safeguarded.” This clearly runs contrary to the Orthodox conception of </w:t>
      </w:r>
      <w:r w:rsidRPr="002D7706">
        <w:rPr>
          <w:rFonts w:asciiTheme="minorHAnsi" w:hAnsiTheme="minorHAnsi" w:cstheme="minorHAnsi"/>
          <w:i/>
          <w:iCs/>
          <w:lang w:val="en-US"/>
        </w:rPr>
        <w:t>perichoresis</w:t>
      </w:r>
      <w:r w:rsidRPr="002D7706">
        <w:rPr>
          <w:rFonts w:asciiTheme="minorHAnsi" w:hAnsiTheme="minorHAnsi" w:cstheme="minorHAnsi"/>
          <w:lang w:val="en-US"/>
        </w:rPr>
        <w:t xml:space="preserve">, that is, the interpenetration of divine energies from Christ’s divine nature into his human nature, deifying the latter. Without this interpenetration or </w:t>
      </w:r>
      <w:r w:rsidRPr="002D7706">
        <w:rPr>
          <w:rFonts w:asciiTheme="minorHAnsi" w:hAnsiTheme="minorHAnsi" w:cstheme="minorHAnsi"/>
          <w:i/>
          <w:iCs/>
          <w:lang w:val="en-US"/>
        </w:rPr>
        <w:t>perichoresis</w:t>
      </w:r>
      <w:r w:rsidRPr="002D7706">
        <w:rPr>
          <w:rFonts w:asciiTheme="minorHAnsi" w:hAnsiTheme="minorHAnsi" w:cstheme="minorHAnsi"/>
          <w:lang w:val="en-US"/>
        </w:rPr>
        <w:t xml:space="preserve">, the theory of theosis loses all credibility and plausibility. </w:t>
      </w:r>
    </w:p>
    <w:p w:rsidR="0027038D" w:rsidRPr="002D7706" w:rsidRDefault="0027038D" w:rsidP="0027038D">
      <w:pPr>
        <w:rPr>
          <w:rFonts w:asciiTheme="minorHAnsi" w:hAnsiTheme="minorHAnsi" w:cstheme="minorHAnsi"/>
          <w:lang w:val="en-US" w:bidi="he-IL"/>
        </w:rPr>
      </w:pPr>
    </w:p>
    <w:p w:rsidR="0027038D" w:rsidRPr="002D7706" w:rsidRDefault="0027038D" w:rsidP="0027038D">
      <w:pPr>
        <w:pStyle w:val="Heading3"/>
        <w:rPr>
          <w:rFonts w:cstheme="minorHAnsi"/>
          <w:lang w:val="en-US" w:bidi="he-IL"/>
        </w:rPr>
      </w:pPr>
      <w:r w:rsidRPr="002D7706">
        <w:rPr>
          <w:rFonts w:cstheme="minorHAnsi"/>
          <w:lang w:val="en-US" w:bidi="he-IL"/>
        </w:rPr>
        <w:t>H. Conclusions</w:t>
      </w:r>
    </w:p>
    <w:p w:rsidR="0027038D" w:rsidRPr="002D7706" w:rsidRDefault="0027038D" w:rsidP="0027038D">
      <w:pPr>
        <w:rPr>
          <w:rFonts w:asciiTheme="minorHAnsi" w:hAnsiTheme="minorHAnsi" w:cstheme="minorHAnsi"/>
          <w:lang w:val="en-US" w:bidi="he-IL"/>
        </w:rPr>
      </w:pPr>
    </w:p>
    <w:p w:rsidR="0027038D" w:rsidRPr="002D7706" w:rsidRDefault="0027038D" w:rsidP="0027038D">
      <w:pPr>
        <w:ind w:firstLine="450"/>
        <w:rPr>
          <w:rFonts w:asciiTheme="minorHAnsi" w:hAnsiTheme="minorHAnsi" w:cstheme="minorHAnsi"/>
          <w:lang w:val="en-US" w:bidi="he-IL"/>
        </w:rPr>
      </w:pPr>
      <w:r w:rsidRPr="002D7706">
        <w:rPr>
          <w:rFonts w:asciiTheme="minorHAnsi" w:hAnsiTheme="minorHAnsi" w:cstheme="minorHAnsi"/>
          <w:lang w:val="en-US" w:bidi="he-IL"/>
        </w:rPr>
        <w:t>In conclusion, although we share with the Eastern Fathers and Orthodox believers the desire for a sanctified life and Christ-likeness, it is clear that the doctrine of theosis exceeds the expectations that Scripture allows. Here, we see demonstrated the subtle but dangerous influence of unchecked philosophical thought on Christian doctrine and the hazard of ascribing unwarranted importance to Church tradition in the formation of</w:t>
      </w:r>
      <w:r>
        <w:rPr>
          <w:rFonts w:asciiTheme="minorHAnsi" w:hAnsiTheme="minorHAnsi" w:cstheme="minorHAnsi"/>
          <w:lang w:val="en-US" w:bidi="he-IL"/>
        </w:rPr>
        <w:t xml:space="preserve"> Christian faith and practice. </w:t>
      </w:r>
      <w:r w:rsidRPr="002D7706">
        <w:rPr>
          <w:rFonts w:asciiTheme="minorHAnsi" w:hAnsiTheme="minorHAnsi" w:cstheme="minorHAnsi"/>
          <w:lang w:val="en-US" w:bidi="he-IL"/>
        </w:rPr>
        <w:t xml:space="preserve">We invite the adherents of theosis to return to a sound and biblically based understanding of the doctrines of salvation and sanctification. </w:t>
      </w:r>
    </w:p>
    <w:p w:rsidR="00151793" w:rsidRDefault="00151793">
      <w:pPr>
        <w:rPr>
          <w:lang w:val="en-US"/>
        </w:rPr>
      </w:pPr>
    </w:p>
    <w:p w:rsidR="00E53BD1" w:rsidRDefault="00E53BD1">
      <w:pPr>
        <w:rPr>
          <w:lang w:val="en-US"/>
        </w:rPr>
      </w:pPr>
    </w:p>
    <w:p w:rsidR="00E53BD1" w:rsidRPr="002D7706" w:rsidRDefault="00E53BD1" w:rsidP="00E53BD1">
      <w:pPr>
        <w:pStyle w:val="Heading2"/>
        <w:rPr>
          <w:lang w:val="en-US" w:bidi="he-IL"/>
        </w:rPr>
      </w:pPr>
      <w:r w:rsidRPr="002D7706">
        <w:rPr>
          <w:lang w:val="en-US"/>
        </w:rPr>
        <w:t>Neoplatonism</w:t>
      </w:r>
    </w:p>
    <w:p w:rsidR="00E53BD1" w:rsidRPr="002D7706" w:rsidRDefault="00E53BD1" w:rsidP="00E53BD1">
      <w:pPr>
        <w:pStyle w:val="Heading3"/>
        <w:rPr>
          <w:i/>
          <w:lang w:val="en-US" w:bidi="he-IL"/>
        </w:rPr>
      </w:pPr>
      <w:r w:rsidRPr="002D7706">
        <w:rPr>
          <w:lang w:bidi="he-IL"/>
        </w:rPr>
        <w:t>А</w:t>
      </w:r>
      <w:r w:rsidRPr="002D7706">
        <w:rPr>
          <w:lang w:val="en-US" w:bidi="he-IL"/>
        </w:rPr>
        <w:t>. Description</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bidi="he-IL"/>
        </w:rPr>
        <w:t>Neoplatonism was the most influential worldview in the ancient world. It had a significant effect on the theology of many early Church Fathers and, through them, continues to form the thought of certain branches of Christendom today</w:t>
      </w:r>
      <w:r w:rsidRPr="002D7706">
        <w:rPr>
          <w:rFonts w:asciiTheme="minorHAnsi" w:hAnsiTheme="minorHAnsi" w:cstheme="minorHAnsi"/>
          <w:lang w:val="en-US"/>
        </w:rPr>
        <w:t>.</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The founder of this system of thought was the Alexandrian native Ammonius Saccas (175-240). Alexandria was a famous meeting point between East and West. One could find there, as the historian Copleston notes, “</w:t>
      </w:r>
      <w:r w:rsidRPr="002D7706">
        <w:rPr>
          <w:rFonts w:asciiTheme="minorHAnsi" w:hAnsiTheme="minorHAnsi" w:cstheme="minorHAnsi"/>
          <w:lang w:val="en-US" w:bidi="he-IL"/>
        </w:rPr>
        <w:t>Hellenistic philosophy, special science and Oriental religion.</w:t>
      </w:r>
      <w:r w:rsidRPr="002D7706">
        <w:rPr>
          <w:rFonts w:asciiTheme="minorHAnsi" w:hAnsiTheme="minorHAnsi" w:cstheme="minorHAnsi"/>
          <w:lang w:val="en-US"/>
        </w:rPr>
        <w:t>”</w:t>
      </w:r>
      <w:r w:rsidRPr="0013213B">
        <w:rPr>
          <w:rStyle w:val="FootnoteReference"/>
          <w:rFonts w:asciiTheme="minorHAnsi" w:hAnsiTheme="minorHAnsi" w:cstheme="minorHAnsi"/>
        </w:rPr>
        <w:footnoteReference w:id="127"/>
      </w:r>
      <w:r w:rsidRPr="002D7706">
        <w:rPr>
          <w:rFonts w:asciiTheme="minorHAnsi" w:hAnsiTheme="minorHAnsi" w:cstheme="minorHAnsi"/>
          <w:lang w:val="en-US"/>
        </w:rPr>
        <w:t xml:space="preserve"> Therefore, it comes as no surprise that we discover in Neoplatonism elements of both Greek philosophy and Hindu faith. The Orthodox theologian Vladimir Lossky also observes the parallels between Neoplatonism and Hinduism: “’Neoplatonism’ leads to a ‘mystical plunge’ that in some ways reminds one of the teaching of Hinduism.”</w:t>
      </w:r>
      <w:r w:rsidRPr="0013213B">
        <w:rPr>
          <w:rStyle w:val="FootnoteReference"/>
          <w:rFonts w:asciiTheme="minorHAnsi" w:hAnsiTheme="minorHAnsi" w:cstheme="minorHAnsi"/>
          <w:lang w:bidi="he-IL"/>
        </w:rPr>
        <w:footnoteReference w:id="128"/>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Neoplatonism is an offshoot of two philosophies that preceded it: Neopythagoreanism and Middle Platonism. Neopythagoreanism arose in Alexandria in the first century B.C. and contains elements of Stoicism, Platonism, and Aristotelianism. According to this view, all reality is contained in a certain “Monad,” which is the basis of all reality. All that exists is a manifestation of the Monad or its emanations. The Monad itself exists beyond all mental perception in complete mystery. Consequently, Neopythagoreanism is an apophatic worldview. One of the emanations, namely the Demiurge, created the world. The “Fall” of humanity occurred when the rational and irrational souls were materialized.</w:t>
      </w:r>
      <w:r w:rsidRPr="0013213B">
        <w:rPr>
          <w:rStyle w:val="FootnoteReference"/>
          <w:rFonts w:asciiTheme="minorHAnsi" w:hAnsiTheme="minorHAnsi" w:cstheme="minorHAnsi"/>
        </w:rPr>
        <w:footnoteReference w:id="129"/>
      </w:r>
      <w:r w:rsidRPr="002D7706">
        <w:rPr>
          <w:rFonts w:asciiTheme="minorHAnsi" w:hAnsiTheme="minorHAnsi" w:cstheme="minorHAnsi"/>
          <w:lang w:val="en-US"/>
        </w:rPr>
        <w:t xml:space="preserve"> This worldview shares many common features with Gnosticism and the teaching of Marcion.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rPr>
        <w:t>Middle Platonism (1st c. A.D.) was a mixture of various convictions that were not always clearly interconnected. God’s transcendence was emphasized as well mysticism and the need for mediators between God and the world. Similar to Neopythagoreanism, in Middle Platonism we encounter the idea of emanations from the “One,” namely “Nous” (i.e., “Mind”), and “Soul.” Humanity’s goal is the ascent to God and</w:t>
      </w:r>
      <w:r w:rsidRPr="002D7706">
        <w:rPr>
          <w:rFonts w:asciiTheme="minorHAnsi" w:hAnsiTheme="minorHAnsi" w:cstheme="minorHAnsi"/>
          <w:lang w:val="en-US" w:bidi="he-IL"/>
        </w:rPr>
        <w:t xml:space="preserve"> </w:t>
      </w:r>
      <w:r w:rsidRPr="002D7706">
        <w:rPr>
          <w:rFonts w:asciiTheme="minorHAnsi" w:hAnsiTheme="minorHAnsi" w:cstheme="minorHAnsi"/>
          <w:lang w:val="el-GR" w:bidi="he-IL"/>
        </w:rPr>
        <w:t>ο</w:t>
      </w:r>
      <w:r w:rsidRPr="002D7706">
        <w:rPr>
          <w:rFonts w:asciiTheme="minorHAnsi" w:hAnsiTheme="minorHAnsi" w:cstheme="minorHAnsi"/>
          <w:lang w:val="en-US" w:bidi="he-IL"/>
        </w:rPr>
        <w:t>̔</w:t>
      </w:r>
      <w:r w:rsidRPr="002D7706">
        <w:rPr>
          <w:rFonts w:asciiTheme="minorHAnsi" w:hAnsiTheme="minorHAnsi" w:cstheme="minorHAnsi"/>
          <w:lang w:val="el-GR" w:bidi="he-IL"/>
        </w:rPr>
        <w:t>μοι</w:t>
      </w:r>
      <w:r w:rsidRPr="002D7706">
        <w:rPr>
          <w:rFonts w:asciiTheme="minorHAnsi" w:hAnsiTheme="minorHAnsi" w:cstheme="minorHAnsi"/>
          <w:lang w:val="en-US" w:bidi="he-IL"/>
        </w:rPr>
        <w:t>́</w:t>
      </w:r>
      <w:r w:rsidRPr="002D7706">
        <w:rPr>
          <w:rFonts w:asciiTheme="minorHAnsi" w:hAnsiTheme="minorHAnsi" w:cstheme="minorHAnsi"/>
          <w:lang w:val="el-GR" w:bidi="he-IL"/>
        </w:rPr>
        <w:t>ωσις</w:t>
      </w:r>
      <w:r w:rsidRPr="002D7706">
        <w:rPr>
          <w:rFonts w:asciiTheme="minorHAnsi" w:hAnsiTheme="minorHAnsi" w:cstheme="minorHAnsi"/>
          <w:lang w:val="en-US" w:bidi="he-IL"/>
        </w:rPr>
        <w:t xml:space="preserve"> </w:t>
      </w:r>
      <w:r w:rsidRPr="002D7706">
        <w:rPr>
          <w:rFonts w:asciiTheme="minorHAnsi" w:hAnsiTheme="minorHAnsi" w:cstheme="minorHAnsi"/>
          <w:lang w:val="el-GR" w:bidi="he-IL"/>
        </w:rPr>
        <w:t>θεω</w:t>
      </w:r>
      <w:r w:rsidRPr="002D7706">
        <w:rPr>
          <w:rFonts w:asciiTheme="minorHAnsi" w:hAnsiTheme="minorHAnsi" w:cstheme="minorHAnsi"/>
          <w:lang w:val="en-US" w:bidi="he-IL"/>
        </w:rPr>
        <w:t xml:space="preserve">͂ </w:t>
      </w:r>
      <w:r w:rsidRPr="002D7706">
        <w:rPr>
          <w:rFonts w:asciiTheme="minorHAnsi" w:hAnsiTheme="minorHAnsi" w:cstheme="minorHAnsi"/>
          <w:lang w:val="el-GR" w:bidi="he-IL"/>
        </w:rPr>
        <w:t>κατα</w:t>
      </w:r>
      <w:r w:rsidRPr="002D7706">
        <w:rPr>
          <w:rFonts w:asciiTheme="minorHAnsi" w:hAnsiTheme="minorHAnsi" w:cstheme="minorHAnsi"/>
          <w:lang w:val="en-US" w:bidi="he-IL"/>
        </w:rPr>
        <w:t xml:space="preserve">̀ </w:t>
      </w:r>
      <w:r w:rsidRPr="002D7706">
        <w:rPr>
          <w:rFonts w:asciiTheme="minorHAnsi" w:hAnsiTheme="minorHAnsi" w:cstheme="minorHAnsi"/>
          <w:lang w:val="el-GR" w:bidi="he-IL"/>
        </w:rPr>
        <w:t>το</w:t>
      </w:r>
      <w:r w:rsidRPr="002D7706">
        <w:rPr>
          <w:rFonts w:asciiTheme="minorHAnsi" w:hAnsiTheme="minorHAnsi" w:cstheme="minorHAnsi"/>
          <w:lang w:val="en-US" w:bidi="he-IL"/>
        </w:rPr>
        <w:t xml:space="preserve">̀ </w:t>
      </w:r>
      <w:r w:rsidRPr="002D7706">
        <w:rPr>
          <w:rFonts w:asciiTheme="minorHAnsi" w:hAnsiTheme="minorHAnsi" w:cstheme="minorHAnsi"/>
          <w:lang w:val="el-GR" w:bidi="he-IL"/>
        </w:rPr>
        <w:t>δυνατο</w:t>
      </w:r>
      <w:r w:rsidRPr="002D7706">
        <w:rPr>
          <w:rFonts w:asciiTheme="minorHAnsi" w:hAnsiTheme="minorHAnsi" w:cstheme="minorHAnsi"/>
          <w:lang w:val="en-US" w:bidi="he-IL"/>
        </w:rPr>
        <w:t>́</w:t>
      </w:r>
      <w:r w:rsidRPr="002D7706">
        <w:rPr>
          <w:rFonts w:asciiTheme="minorHAnsi" w:hAnsiTheme="minorHAnsi" w:cstheme="minorHAnsi"/>
          <w:lang w:val="el-GR" w:bidi="he-IL"/>
        </w:rPr>
        <w:t>ν</w:t>
      </w:r>
      <w:r w:rsidRPr="002D7706">
        <w:rPr>
          <w:rFonts w:asciiTheme="minorHAnsi" w:hAnsiTheme="minorHAnsi" w:cstheme="minorHAnsi"/>
          <w:lang w:val="en-US" w:bidi="he-IL"/>
        </w:rPr>
        <w:t>, that is, i.</w:t>
      </w:r>
      <w:r w:rsidRPr="002D7706">
        <w:rPr>
          <w:rFonts w:asciiTheme="minorHAnsi" w:hAnsiTheme="minorHAnsi" w:cstheme="minorHAnsi"/>
          <w:lang w:bidi="he-IL"/>
        </w:rPr>
        <w:t>е</w:t>
      </w:r>
      <w:r w:rsidRPr="002D7706">
        <w:rPr>
          <w:rFonts w:asciiTheme="minorHAnsi" w:hAnsiTheme="minorHAnsi" w:cstheme="minorHAnsi"/>
          <w:lang w:val="en-US" w:bidi="he-IL"/>
        </w:rPr>
        <w:t>., attaining likeness to God as much as that is possible.</w:t>
      </w:r>
      <w:r w:rsidRPr="0013213B">
        <w:rPr>
          <w:rStyle w:val="FootnoteReference"/>
          <w:rFonts w:asciiTheme="minorHAnsi" w:hAnsiTheme="minorHAnsi" w:cstheme="minorHAnsi"/>
          <w:lang w:bidi="he-IL"/>
        </w:rPr>
        <w:footnoteReference w:id="130"/>
      </w:r>
      <w:r w:rsidRPr="002D7706">
        <w:rPr>
          <w:rFonts w:asciiTheme="minorHAnsi" w:hAnsiTheme="minorHAnsi" w:cstheme="minorHAnsi"/>
          <w:lang w:val="en-US" w:bidi="he-IL"/>
        </w:rPr>
        <w:t xml:space="preserve"> </w:t>
      </w:r>
    </w:p>
    <w:p w:rsidR="00E53BD1" w:rsidRPr="002D7706" w:rsidRDefault="00E53BD1" w:rsidP="00E53BD1">
      <w:pPr>
        <w:ind w:firstLine="425"/>
        <w:rPr>
          <w:rFonts w:asciiTheme="minorHAnsi" w:hAnsiTheme="minorHAnsi" w:cstheme="minorHAnsi"/>
          <w:lang w:val="en-US"/>
        </w:rPr>
      </w:pPr>
      <w:r w:rsidRPr="002D7706">
        <w:rPr>
          <w:rFonts w:asciiTheme="minorHAnsi" w:hAnsiTheme="minorHAnsi" w:cstheme="minorHAnsi"/>
          <w:lang w:val="en-US"/>
        </w:rPr>
        <w:t>One could guess that these worldviews affected the famous Jewish philosopher from Alexandria – Philo. Correspondingly, we notice a tendency to apophatism in his teaching. The historian Sahakian writes, “</w:t>
      </w:r>
      <w:r w:rsidRPr="002D7706">
        <w:rPr>
          <w:rFonts w:asciiTheme="minorHAnsi" w:hAnsiTheme="minorHAnsi" w:cstheme="minorHAnsi"/>
          <w:lang w:val="en-US" w:bidi="he-IL"/>
        </w:rPr>
        <w:t>Philo regarded God as exalted above all human understanding, hence as infinite, incomprehensible, nameless, and transcending human knowledge, and he insisted that the most that can be asserted about God is what he is not.</w:t>
      </w:r>
      <w:r w:rsidRPr="002D7706">
        <w:rPr>
          <w:rFonts w:asciiTheme="minorHAnsi" w:hAnsiTheme="minorHAnsi" w:cstheme="minorHAnsi"/>
          <w:lang w:val="en-US"/>
        </w:rPr>
        <w:t>”</w:t>
      </w:r>
      <w:r w:rsidRPr="0013213B">
        <w:rPr>
          <w:rStyle w:val="FootnoteReference"/>
          <w:rFonts w:asciiTheme="minorHAnsi" w:hAnsiTheme="minorHAnsi" w:cstheme="minorHAnsi"/>
        </w:rPr>
        <w:footnoteReference w:id="131"/>
      </w:r>
    </w:p>
    <w:p w:rsidR="00E53BD1" w:rsidRPr="002D7706" w:rsidRDefault="00E53BD1" w:rsidP="00E53BD1">
      <w:pPr>
        <w:ind w:firstLine="425"/>
        <w:rPr>
          <w:rFonts w:asciiTheme="minorHAnsi" w:hAnsiTheme="minorHAnsi" w:cstheme="minorHAnsi"/>
          <w:lang w:val="en-US"/>
        </w:rPr>
      </w:pPr>
      <w:r w:rsidRPr="002D7706">
        <w:rPr>
          <w:rFonts w:asciiTheme="minorHAnsi" w:hAnsiTheme="minorHAnsi" w:cstheme="minorHAnsi"/>
          <w:lang w:val="en-US"/>
        </w:rPr>
        <w:t>The idea of the soul ascending to God was a fascination for Philo.</w:t>
      </w:r>
      <w:r w:rsidRPr="0013213B">
        <w:rPr>
          <w:rStyle w:val="FootnoteReference"/>
          <w:rFonts w:asciiTheme="minorHAnsi" w:hAnsiTheme="minorHAnsi" w:cstheme="minorHAnsi"/>
        </w:rPr>
        <w:footnoteReference w:id="132"/>
      </w:r>
      <w:r w:rsidRPr="002D7706">
        <w:rPr>
          <w:rFonts w:asciiTheme="minorHAnsi" w:hAnsiTheme="minorHAnsi" w:cstheme="minorHAnsi"/>
          <w:lang w:val="en-US"/>
        </w:rPr>
        <w:t xml:space="preserve"> Since this ascent requires the aid of mediators, Philo proposed the following: Logos, angels, and Wisdom. Through contemplation of the Logos and personal moral conduct, a person can ascend to God and unify with Him. Commenting on Exodus 24:2, Philo wrote, “But he who is resolved into the nature of unity, is said to come near God in a kind of family relation, for having given up and left behind all moral kinds, he is changed into the divine, so that such men might become kin to God and truly divine.</w:t>
      </w:r>
      <w:r w:rsidRPr="0013213B">
        <w:rPr>
          <w:rStyle w:val="FootnoteReference"/>
          <w:rFonts w:asciiTheme="minorHAnsi" w:hAnsiTheme="minorHAnsi" w:cstheme="minorHAnsi"/>
        </w:rPr>
        <w:footnoteReference w:id="133"/>
      </w:r>
      <w:r w:rsidRPr="002D7706">
        <w:rPr>
          <w:rFonts w:asciiTheme="minorHAnsi" w:hAnsiTheme="minorHAnsi" w:cstheme="minorHAnsi"/>
          <w:lang w:val="en-US"/>
        </w:rPr>
        <w:t xml:space="preserve"> Yet, Philo still recognized the distinction between God and the deified human: “</w:t>
      </w:r>
      <w:r w:rsidRPr="002D7706">
        <w:rPr>
          <w:rFonts w:asciiTheme="minorHAnsi" w:eastAsia="MS Mincho" w:hAnsiTheme="minorHAnsi" w:cstheme="minorHAnsi"/>
          <w:lang w:val="en-US" w:eastAsia="en-US" w:bidi="he-IL"/>
        </w:rPr>
        <w:t>There is one true God only.</w:t>
      </w:r>
      <w:r w:rsidRPr="002D7706">
        <w:rPr>
          <w:rFonts w:asciiTheme="minorHAnsi" w:hAnsiTheme="minorHAnsi" w:cstheme="minorHAnsi"/>
          <w:lang w:val="en-US"/>
        </w:rPr>
        <w:t>”</w:t>
      </w:r>
      <w:r w:rsidRPr="0013213B">
        <w:rPr>
          <w:rStyle w:val="FootnoteReference"/>
          <w:rFonts w:asciiTheme="minorHAnsi" w:hAnsiTheme="minorHAnsi" w:cstheme="minorHAnsi"/>
          <w:lang w:bidi="he-IL"/>
        </w:rPr>
        <w:footnoteReference w:id="134"/>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Philo’s views differ greatly from the conventional Jewish understanding of the human fate. Gross comments that the religious atmosphere in which Palestinian Judaism developed was not favorable to the idea of deification.</w:t>
      </w:r>
      <w:r w:rsidRPr="0013213B">
        <w:rPr>
          <w:rStyle w:val="FootnoteReference"/>
          <w:rFonts w:asciiTheme="minorHAnsi" w:hAnsiTheme="minorHAnsi" w:cstheme="minorHAnsi"/>
          <w:lang w:val="en-US" w:bidi="he-IL"/>
        </w:rPr>
        <w:footnoteReference w:id="135"/>
      </w:r>
      <w:r w:rsidRPr="002D7706">
        <w:rPr>
          <w:rFonts w:asciiTheme="minorHAnsi" w:hAnsiTheme="minorHAnsi" w:cstheme="minorHAnsi"/>
          <w:color w:val="FF0000"/>
          <w:lang w:val="en-US" w:bidi="he-IL"/>
        </w:rPr>
        <w:t xml:space="preserve"> </w:t>
      </w:r>
      <w:r w:rsidRPr="002D7706">
        <w:rPr>
          <w:rFonts w:asciiTheme="minorHAnsi" w:hAnsiTheme="minorHAnsi" w:cstheme="minorHAnsi"/>
          <w:lang w:val="en-US" w:bidi="he-IL"/>
        </w:rPr>
        <w:t xml:space="preserve">This observation confirms our suspicion that the theosis teaching did not arise from Jewish (Old Testament) teaching.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 xml:space="preserve">One of Ammonius Saccas’ students, Plotinus (205-270), furthered developed the Neoplatonic worldview and established its basic parameters. Plotinus was raised in Alexandria, but taught in Rome. Two of his followers, Porphyry (233-302) and Proclus (412-485), contributed to the development and propagation of Plotinus’ teaching.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Plotinus’ teachings consisted of the following.</w:t>
      </w:r>
      <w:r w:rsidRPr="0013213B">
        <w:rPr>
          <w:rStyle w:val="FootnoteReference"/>
          <w:rFonts w:asciiTheme="minorHAnsi" w:hAnsiTheme="minorHAnsi" w:cstheme="minorHAnsi"/>
        </w:rPr>
        <w:footnoteReference w:id="136"/>
      </w:r>
      <w:r w:rsidRPr="002D7706">
        <w:rPr>
          <w:rFonts w:asciiTheme="minorHAnsi" w:hAnsiTheme="minorHAnsi" w:cstheme="minorHAnsi"/>
          <w:lang w:val="en-US"/>
        </w:rPr>
        <w:t xml:space="preserve"> He centered his cosmology in a certain “Ultimate God,” which he called the “One.” A series of emanations flow out of the One, namely the Nous (i.e., “Mind”) and the World Soul. Matter is another emanation from the One, but it is the lowest and least pure of them. Nonetheless, matter reflects the spiritual realities that gave it existence.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 xml:space="preserve">The goal of life is return to the One, that is, to “ascend” to it. The first step in this process is personal purification through an ascetic and ethical lifestyle. The latter consists of observing the four cardinal virtues: wisdom, courage, moderation, and justice (the cardinal virtues in Aristotle’s ethics). By this means, a person can progress from the emanation “matter” to the emanation “World Soul.”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The second step is to rise above sensory perception to interface with the Nous by means of philosophy and contemplation. The third and culminating step is mystical union with the One. At this stage, the seeker no longer senses any distinctions between things, and does not even think about the One, but rather enjoys an organic union with it. Proclus recommended “mystical silence before the Incomprehensible and Ineffable.”</w:t>
      </w:r>
      <w:r w:rsidRPr="0013213B">
        <w:rPr>
          <w:rStyle w:val="FootnoteReference"/>
          <w:rFonts w:asciiTheme="minorHAnsi" w:hAnsiTheme="minorHAnsi" w:cstheme="minorHAnsi"/>
        </w:rPr>
        <w:footnoteReference w:id="137"/>
      </w:r>
      <w:r w:rsidRPr="002D7706">
        <w:rPr>
          <w:rFonts w:asciiTheme="minorHAnsi" w:hAnsiTheme="minorHAnsi" w:cstheme="minorHAnsi"/>
          <w:lang w:val="en-US"/>
        </w:rPr>
        <w:t xml:space="preserve"> Lossky describes Plotinus’ system thusly: “You enter into the sphere of the non-intellectual and non-existent</w:t>
      </w:r>
      <w:r w:rsidRPr="002D7706">
        <w:rPr>
          <w:rFonts w:asciiTheme="minorHAnsi" w:hAnsiTheme="minorHAnsi" w:cstheme="minorHAnsi"/>
          <w:lang w:val="en-US" w:bidi="he-IL"/>
        </w:rPr>
        <w:t>… then silence unavoidably ensues.”</w:t>
      </w:r>
      <w:r w:rsidRPr="0013213B">
        <w:rPr>
          <w:rStyle w:val="FootnoteReference"/>
          <w:rFonts w:asciiTheme="minorHAnsi" w:hAnsiTheme="minorHAnsi" w:cstheme="minorHAnsi"/>
          <w:lang w:bidi="he-IL"/>
        </w:rPr>
        <w:footnoteReference w:id="138"/>
      </w:r>
      <w:r w:rsidRPr="002D7706">
        <w:rPr>
          <w:rFonts w:asciiTheme="minorHAnsi" w:hAnsiTheme="minorHAnsi" w:cstheme="minorHAnsi"/>
          <w:lang w:val="en-US" w:bidi="he-IL"/>
        </w:rPr>
        <w:t xml:space="preserve"> The death wish of Plotinus was for that which was divine in him to return and be united with the Divine.</w:t>
      </w:r>
      <w:r w:rsidRPr="0013213B">
        <w:rPr>
          <w:rStyle w:val="FootnoteReference"/>
          <w:rFonts w:asciiTheme="minorHAnsi" w:hAnsiTheme="minorHAnsi" w:cstheme="minorHAnsi"/>
        </w:rPr>
        <w:footnoteReference w:id="139"/>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 xml:space="preserve">A person’s experience with the emanations is self-authenticating. This means that a person knows internally by intuition when he or she progresses from one emanation to another. The deeper one goes in this progression, the more one understands that all reality is a unity. The appearance of variety in the world is an illusion. The closer one is the One, this apparent “variety” disappears.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The One is beyond understanding or description. It is impersonal and inactive. There is no distinction in it. It is omnipresent. All existence instinctively strives for reunion with the One and will, in the end, attain unification with it.</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Plotinus thought it impossible to ascribe specific attributes to the One.</w:t>
      </w:r>
      <w:r w:rsidRPr="0013213B">
        <w:rPr>
          <w:rStyle w:val="FootnoteReference"/>
          <w:rFonts w:asciiTheme="minorHAnsi" w:hAnsiTheme="minorHAnsi" w:cstheme="minorHAnsi"/>
        </w:rPr>
        <w:footnoteReference w:id="140"/>
      </w:r>
      <w:r w:rsidRPr="002D7706">
        <w:rPr>
          <w:rFonts w:asciiTheme="minorHAnsi" w:hAnsiTheme="minorHAnsi" w:cstheme="minorHAnsi"/>
          <w:lang w:val="en-US"/>
        </w:rPr>
        <w:t xml:space="preserve"> One may not even speak of its existence. It is beyond existence and serves as the source of existence. Ascribing to the One specific attributes places limitations on it and makes it finite. Proclus taught, “</w:t>
      </w:r>
      <w:r w:rsidRPr="002D7706">
        <w:rPr>
          <w:rFonts w:asciiTheme="minorHAnsi" w:hAnsiTheme="minorHAnsi" w:cstheme="minorHAnsi"/>
          <w:lang w:val="en-US" w:bidi="he-IL"/>
        </w:rPr>
        <w:t xml:space="preserve">We are not entitled to predicate anything positively of the ultimate Principle; we can only say what it is </w:t>
      </w:r>
      <w:r w:rsidRPr="002D7706">
        <w:rPr>
          <w:rFonts w:asciiTheme="minorHAnsi" w:hAnsiTheme="minorHAnsi" w:cstheme="minorHAnsi"/>
          <w:i/>
          <w:iCs/>
          <w:lang w:val="en-US" w:bidi="he-IL"/>
        </w:rPr>
        <w:t>not</w:t>
      </w:r>
      <w:r w:rsidRPr="002D7706">
        <w:rPr>
          <w:rFonts w:asciiTheme="minorHAnsi" w:hAnsiTheme="minorHAnsi" w:cstheme="minorHAnsi"/>
          <w:lang w:val="en-US" w:bidi="he-IL"/>
        </w:rPr>
        <w:t>, realizing that it stands above all discursive thought and positive prediction, ineffable and incomprehensible.</w:t>
      </w:r>
      <w:r w:rsidRPr="002D7706">
        <w:rPr>
          <w:rFonts w:asciiTheme="minorHAnsi" w:hAnsiTheme="minorHAnsi" w:cstheme="minorHAnsi"/>
          <w:lang w:val="en-US"/>
        </w:rPr>
        <w:t>”</w:t>
      </w:r>
      <w:r w:rsidRPr="0013213B">
        <w:rPr>
          <w:rStyle w:val="FootnoteReference"/>
          <w:rFonts w:asciiTheme="minorHAnsi" w:hAnsiTheme="minorHAnsi" w:cstheme="minorHAnsi"/>
        </w:rPr>
        <w:footnoteReference w:id="141"/>
      </w:r>
      <w:r w:rsidRPr="002D7706">
        <w:rPr>
          <w:rFonts w:asciiTheme="minorHAnsi" w:hAnsiTheme="minorHAnsi" w:cstheme="minorHAnsi"/>
          <w:lang w:val="en-US"/>
        </w:rPr>
        <w:t xml:space="preserve"> Plotinus was willing to speak of the One as “good,” yet he made the qualification that this attribute is not “inherent” to it.</w:t>
      </w:r>
      <w:r w:rsidRPr="0013213B">
        <w:rPr>
          <w:rStyle w:val="FootnoteReference"/>
          <w:rFonts w:asciiTheme="minorHAnsi" w:hAnsiTheme="minorHAnsi" w:cstheme="minorHAnsi"/>
        </w:rPr>
        <w:footnoteReference w:id="142"/>
      </w:r>
      <w:r w:rsidRPr="002D7706">
        <w:rPr>
          <w:rFonts w:asciiTheme="minorHAnsi" w:hAnsiTheme="minorHAnsi" w:cstheme="minorHAnsi"/>
          <w:lang w:val="en-US"/>
        </w:rPr>
        <w:t xml:space="preserve">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The One does not act or think. It lacks will or self-consciousness. The presence of such features would require some kind of distinction in it. The One must remain “One.” Emanations flow out of it not by the act of the One’s will, but by necessity. Here, Plotinus operates on the principle that everything must produce something else. Therefore, the One must produce emanations. Yet, somehow, the emanations are distinct form the One. So then, Neoplatonism is not a true pantheistic worldview.</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 xml:space="preserve">The “Nous” is the location of the Platonic world of “ideals.” The Nous’ “thoughts” are aligned in two directions: toward the One and toward itself. This distinguishes the Nous from the One – the Nous has distinctions inherent to it, that is, two orientations. </w:t>
      </w:r>
    </w:p>
    <w:p w:rsidR="00E53BD1" w:rsidRPr="002D7706"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The World Soul has two components: a higher and lower aspect. The higher aspect communicates with the Nous, and the lower part – with the material world. The Platonic “ideals,” located in the Nous, are expressed in the world by means of the World Soul. In the world, they are known by the term “logos.” Matter is considered evil only when it fails to reflect these “ideal forms,” communicated by the Nous through the World Soul.</w:t>
      </w:r>
    </w:p>
    <w:p w:rsidR="00E53BD1" w:rsidRDefault="00E53BD1" w:rsidP="00E53BD1">
      <w:pPr>
        <w:ind w:firstLine="426"/>
        <w:rPr>
          <w:rFonts w:asciiTheme="minorHAnsi" w:hAnsiTheme="minorHAnsi" w:cstheme="minorHAnsi"/>
          <w:lang w:val="en-US"/>
        </w:rPr>
      </w:pPr>
      <w:r w:rsidRPr="002D7706">
        <w:rPr>
          <w:rFonts w:asciiTheme="minorHAnsi" w:hAnsiTheme="minorHAnsi" w:cstheme="minorHAnsi"/>
          <w:lang w:val="en-US"/>
        </w:rPr>
        <w:t xml:space="preserve">The human soul derives from the World Soul. It also consists of two parts: </w:t>
      </w:r>
      <w:r w:rsidRPr="002D7706">
        <w:rPr>
          <w:rFonts w:asciiTheme="minorHAnsi" w:hAnsiTheme="minorHAnsi" w:cstheme="minorHAnsi"/>
          <w:lang w:val="en-US" w:bidi="he-IL"/>
        </w:rPr>
        <w:t xml:space="preserve">divisible </w:t>
      </w:r>
      <w:r w:rsidRPr="002D7706">
        <w:rPr>
          <w:rFonts w:asciiTheme="minorHAnsi" w:hAnsiTheme="minorHAnsi" w:cstheme="minorHAnsi"/>
          <w:lang w:val="en-US"/>
        </w:rPr>
        <w:t>and in</w:t>
      </w:r>
      <w:r w:rsidRPr="002D7706">
        <w:rPr>
          <w:rFonts w:asciiTheme="minorHAnsi" w:hAnsiTheme="minorHAnsi" w:cstheme="minorHAnsi"/>
          <w:lang w:val="en-US" w:bidi="he-IL"/>
        </w:rPr>
        <w:t>divisible</w:t>
      </w:r>
      <w:r w:rsidRPr="002D7706">
        <w:rPr>
          <w:rFonts w:asciiTheme="minorHAnsi" w:hAnsiTheme="minorHAnsi" w:cstheme="minorHAnsi"/>
          <w:lang w:val="en-US"/>
        </w:rPr>
        <w:t xml:space="preserve">. The “divisible soul” is our physical body. The human soul became divisible and materialized dues to humanity’s desire to be independent of the One. </w:t>
      </w:r>
    </w:p>
    <w:p w:rsidR="00E53BD1" w:rsidRPr="002D7706" w:rsidRDefault="00E53BD1" w:rsidP="00E53BD1">
      <w:pPr>
        <w:ind w:firstLine="426"/>
        <w:rPr>
          <w:rFonts w:asciiTheme="minorHAnsi" w:hAnsiTheme="minorHAnsi" w:cstheme="minorHAnsi"/>
          <w:lang w:val="en-US"/>
        </w:rPr>
      </w:pPr>
    </w:p>
    <w:p w:rsidR="00E53BD1" w:rsidRPr="00A12DA1" w:rsidRDefault="00E53BD1" w:rsidP="00E53BD1">
      <w:pPr>
        <w:pStyle w:val="Heading3"/>
        <w:rPr>
          <w:lang w:val="en-US"/>
        </w:rPr>
      </w:pPr>
      <w:r w:rsidRPr="00A12DA1">
        <w:rPr>
          <w:lang w:val="en-US"/>
        </w:rPr>
        <w:t>B. Effect on Christianity</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Without doubt, Neoplatonism exerted a heavy influence on the worldview of the early Church Fathers. Bray relates, “Most of the leading theologians of the classical period of Christian dogmatic development had received a Neoplatonic education.”</w:t>
      </w:r>
      <w:r w:rsidRPr="0013213B">
        <w:rPr>
          <w:rStyle w:val="FootnoteReference"/>
          <w:rFonts w:asciiTheme="minorHAnsi" w:hAnsiTheme="minorHAnsi" w:cstheme="minorHAnsi"/>
        </w:rPr>
        <w:footnoteReference w:id="143"/>
      </w:r>
      <w:r w:rsidRPr="002D7706">
        <w:rPr>
          <w:rFonts w:asciiTheme="minorHAnsi" w:hAnsiTheme="minorHAnsi" w:cstheme="minorHAnsi"/>
          <w:lang w:val="en-US"/>
        </w:rPr>
        <w:t xml:space="preserve"> This system had its greatest effect on the Alexandrian Fathers, as Compleston notes, “</w:t>
      </w:r>
      <w:r w:rsidRPr="002D7706">
        <w:rPr>
          <w:rFonts w:asciiTheme="minorHAnsi" w:hAnsiTheme="minorHAnsi" w:cstheme="minorHAnsi"/>
          <w:lang w:val="en-US" w:bidi="he-IL"/>
        </w:rPr>
        <w:t>Neo-Platonism exercised a profound influence on Christian thinkers at Alexandria.</w:t>
      </w:r>
      <w:r w:rsidRPr="002D7706">
        <w:rPr>
          <w:rFonts w:asciiTheme="minorHAnsi" w:hAnsiTheme="minorHAnsi" w:cstheme="minorHAnsi"/>
          <w:lang w:val="en-US"/>
        </w:rPr>
        <w:t>”</w:t>
      </w:r>
      <w:r w:rsidRPr="0013213B">
        <w:rPr>
          <w:rStyle w:val="FootnoteReference"/>
          <w:rFonts w:asciiTheme="minorHAnsi" w:hAnsiTheme="minorHAnsi" w:cstheme="minorHAnsi"/>
        </w:rPr>
        <w:footnoteReference w:id="144"/>
      </w:r>
      <w:r w:rsidRPr="002D7706">
        <w:rPr>
          <w:rFonts w:asciiTheme="minorHAnsi" w:hAnsiTheme="minorHAnsi" w:cstheme="minorHAnsi"/>
          <w:lang w:val="en-US"/>
        </w:rPr>
        <w:t xml:space="preserve"> In fact, not only was Plotinus a student of Ammonius Saccas</w:t>
      </w:r>
      <w:r w:rsidRPr="002D7706">
        <w:rPr>
          <w:rFonts w:asciiTheme="minorHAnsi" w:hAnsiTheme="minorHAnsi" w:cstheme="minorHAnsi"/>
          <w:lang w:val="en-US" w:bidi="he-IL"/>
        </w:rPr>
        <w:t>, but Origen was as well</w:t>
      </w:r>
      <w:r w:rsidRPr="002D7706">
        <w:rPr>
          <w:rFonts w:asciiTheme="minorHAnsi" w:hAnsiTheme="minorHAnsi" w:cstheme="minorHAnsi"/>
          <w:lang w:val="en-US"/>
        </w:rPr>
        <w:t>. Sahakian relates, “(</w:t>
      </w:r>
      <w:r w:rsidRPr="002D7706">
        <w:rPr>
          <w:rFonts w:asciiTheme="minorHAnsi" w:hAnsiTheme="minorHAnsi" w:cstheme="minorHAnsi"/>
          <w:lang w:val="en-US" w:bidi="he-IL"/>
        </w:rPr>
        <w:t>Origen) adopted Neo-Platonism as a philosophical foundation for Christian theology.”</w:t>
      </w:r>
      <w:r w:rsidRPr="0013213B">
        <w:rPr>
          <w:rStyle w:val="FootnoteReference"/>
          <w:rFonts w:asciiTheme="minorHAnsi" w:hAnsiTheme="minorHAnsi" w:cstheme="minorHAnsi"/>
        </w:rPr>
        <w:footnoteReference w:id="145"/>
      </w:r>
      <w:r w:rsidRPr="002D7706">
        <w:rPr>
          <w:rFonts w:asciiTheme="minorHAnsi" w:hAnsiTheme="minorHAnsi" w:cstheme="minorHAnsi"/>
          <w:b/>
          <w:bCs/>
          <w:i/>
          <w:iCs/>
          <w:lang w:val="en-US"/>
        </w:rPr>
        <w:t xml:space="preserve"> </w:t>
      </w:r>
      <w:r w:rsidRPr="002D7706">
        <w:rPr>
          <w:rFonts w:asciiTheme="minorHAnsi" w:hAnsiTheme="minorHAnsi" w:cstheme="minorHAnsi"/>
          <w:lang w:val="en-US"/>
        </w:rPr>
        <w:t>It is said of Athanasius, “In his understanding of God, Athanasius was heavily influenced by Plato, Plotinus, Albinus, and Proclus.</w:t>
      </w:r>
      <w:r w:rsidRPr="0013213B">
        <w:rPr>
          <w:rStyle w:val="FootnoteReference"/>
          <w:rFonts w:asciiTheme="minorHAnsi" w:hAnsiTheme="minorHAnsi" w:cstheme="minorHAnsi"/>
          <w:lang w:bidi="he-IL"/>
        </w:rPr>
        <w:footnoteReference w:id="146"/>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The Alexandrian Fathers, in turn, exercised their influence on the Church as a whole. </w:t>
      </w:r>
      <w:r w:rsidRPr="002D7706">
        <w:rPr>
          <w:rFonts w:asciiTheme="minorHAnsi" w:hAnsiTheme="minorHAnsi" w:cstheme="minorHAnsi"/>
          <w:lang w:val="en-US"/>
        </w:rPr>
        <w:t>Sahakian feels,</w:t>
      </w:r>
      <w:r w:rsidRPr="002D7706">
        <w:rPr>
          <w:rFonts w:asciiTheme="minorHAnsi" w:hAnsiTheme="minorHAnsi" w:cstheme="minorHAnsi"/>
          <w:lang w:val="en-US" w:bidi="he-IL"/>
        </w:rPr>
        <w:t xml:space="preserve"> “In the last analysis, Patristic theology and philosophy were actually based upon fundamental concepts of Hellenistic thought.”</w:t>
      </w:r>
      <w:r w:rsidRPr="0013213B">
        <w:rPr>
          <w:rStyle w:val="FootnoteReference"/>
          <w:rFonts w:asciiTheme="minorHAnsi" w:hAnsiTheme="minorHAnsi" w:cstheme="minorHAnsi"/>
          <w:lang w:bidi="he-IL"/>
        </w:rPr>
        <w:footnoteReference w:id="147"/>
      </w:r>
      <w:r w:rsidRPr="002D7706">
        <w:rPr>
          <w:rFonts w:asciiTheme="minorHAnsi" w:hAnsiTheme="minorHAnsi" w:cstheme="minorHAnsi"/>
          <w:lang w:val="en-US" w:bidi="he-IL"/>
        </w:rPr>
        <w:t xml:space="preserve"> Pseudo-Dionysius, in particular, constructed his theology from Neoplatonic premises. According to </w:t>
      </w:r>
      <w:r w:rsidRPr="002D7706">
        <w:rPr>
          <w:rFonts w:asciiTheme="minorHAnsi" w:hAnsiTheme="minorHAnsi" w:cstheme="minorHAnsi"/>
          <w:lang w:val="en-US"/>
        </w:rPr>
        <w:t>Sahakian, “(</w:t>
      </w:r>
      <w:r w:rsidRPr="002D7706">
        <w:rPr>
          <w:rFonts w:asciiTheme="minorHAnsi" w:hAnsiTheme="minorHAnsi" w:cstheme="minorHAnsi"/>
          <w:lang w:val="en-US" w:bidi="he-IL"/>
        </w:rPr>
        <w:t>Pseudo-Dionysius) introduced it into the Church so effectively that it remained there nine centuries.”</w:t>
      </w:r>
      <w:r w:rsidRPr="0013213B">
        <w:rPr>
          <w:rStyle w:val="FootnoteReference"/>
          <w:rFonts w:asciiTheme="minorHAnsi" w:hAnsiTheme="minorHAnsi" w:cstheme="minorHAnsi"/>
          <w:lang w:bidi="he-IL"/>
        </w:rPr>
        <w:footnoteReference w:id="148"/>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Pseudo-Dionysius styled himself as Dionysius the Areopagite, mentioned in Acts 17:34. Today, all serious scholars agree that his works were pseudonymic. They note that no one cites his works until the sixth century. In addition, in his work </w:t>
      </w:r>
      <w:r w:rsidRPr="002D7706">
        <w:rPr>
          <w:rFonts w:asciiTheme="minorHAnsi" w:hAnsiTheme="minorHAnsi" w:cstheme="minorHAnsi"/>
          <w:i/>
          <w:iCs/>
          <w:lang w:val="en-US" w:bidi="he-IL"/>
        </w:rPr>
        <w:t>On Church Hierarchy</w:t>
      </w:r>
      <w:r w:rsidRPr="002D7706">
        <w:rPr>
          <w:rFonts w:asciiTheme="minorHAnsi" w:hAnsiTheme="minorHAnsi" w:cstheme="minorHAnsi"/>
          <w:lang w:val="en-US" w:bidi="he-IL"/>
        </w:rPr>
        <w:t>, he speaks of initiation into monastic vows and reading the Symbol of Faith during the liturgy. These practices did not exist in the first century. Lossky even admits that the author of these books was not the individual mentioned in Acts who was acquainted with the apostle Paul.</w:t>
      </w:r>
      <w:r w:rsidRPr="0013213B">
        <w:rPr>
          <w:rStyle w:val="FootnoteReference"/>
          <w:rFonts w:asciiTheme="minorHAnsi" w:hAnsiTheme="minorHAnsi" w:cstheme="minorHAnsi"/>
          <w:lang w:bidi="he-IL"/>
        </w:rPr>
        <w:footnoteReference w:id="149"/>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Meyendorff writes that Pseudo-Dionysius’ goal was to “unite the Christian system with the hierarchical world of Neoplatonism. Dionysius quotes Neoplatonic authors in abundance, especially Proclus.</w:t>
      </w:r>
      <w:r w:rsidRPr="0013213B">
        <w:rPr>
          <w:rStyle w:val="FootnoteReference"/>
          <w:rFonts w:asciiTheme="minorHAnsi" w:hAnsiTheme="minorHAnsi" w:cstheme="minorHAnsi"/>
          <w:lang w:bidi="he-IL"/>
        </w:rPr>
        <w:footnoteReference w:id="150"/>
      </w:r>
      <w:r w:rsidRPr="002D7706">
        <w:rPr>
          <w:rFonts w:asciiTheme="minorHAnsi" w:hAnsiTheme="minorHAnsi" w:cstheme="minorHAnsi"/>
          <w:lang w:val="en-US" w:bidi="he-IL"/>
        </w:rPr>
        <w:t xml:space="preserve"> Meyendorff, expressing his astonishment, comments on Pseudo-Dionysius, “Adoption of his teaching by the Church can be considered one of the most amazing phenomenon in history.”</w:t>
      </w:r>
      <w:r w:rsidRPr="0013213B">
        <w:rPr>
          <w:rStyle w:val="FootnoteReference"/>
          <w:rFonts w:asciiTheme="minorHAnsi" w:hAnsiTheme="minorHAnsi" w:cstheme="minorHAnsi"/>
          <w:lang w:bidi="he-IL"/>
        </w:rPr>
        <w:footnoteReference w:id="151"/>
      </w:r>
      <w:r w:rsidRPr="002D7706">
        <w:rPr>
          <w:rFonts w:asciiTheme="minorHAnsi" w:hAnsiTheme="minorHAnsi" w:cstheme="minorHAnsi"/>
          <w:lang w:val="en-US" w:bidi="he-IL"/>
        </w:rPr>
        <w:t xml:space="preserve">  </w:t>
      </w:r>
    </w:p>
    <w:p w:rsidR="00E53BD1" w:rsidRPr="008B6646" w:rsidRDefault="00E53BD1" w:rsidP="00E53BD1">
      <w:pPr>
        <w:ind w:firstLine="426"/>
        <w:rPr>
          <w:rFonts w:asciiTheme="minorHAnsi" w:hAnsiTheme="minorHAnsi" w:cstheme="minorHAnsi"/>
          <w:color w:val="FF0000"/>
          <w:lang w:val="en-US"/>
        </w:rPr>
      </w:pPr>
      <w:r w:rsidRPr="002D7706">
        <w:rPr>
          <w:rFonts w:asciiTheme="minorHAnsi" w:hAnsiTheme="minorHAnsi" w:cstheme="minorHAnsi"/>
          <w:lang w:val="en-US" w:bidi="he-IL"/>
        </w:rPr>
        <w:t>At the same time, Meyendorff reminds us that, although Pseudo-Dionysius had a significant effect on the Early Church, the latter never totally accepted his teachings, especially his understanding of the sacraments.</w:t>
      </w:r>
      <w:r w:rsidRPr="0013213B">
        <w:rPr>
          <w:rStyle w:val="FootnoteReference"/>
          <w:rFonts w:asciiTheme="minorHAnsi" w:hAnsiTheme="minorHAnsi" w:cstheme="minorHAnsi"/>
          <w:lang w:bidi="he-IL"/>
        </w:rPr>
        <w:footnoteReference w:id="152"/>
      </w:r>
      <w:r w:rsidRPr="002D7706">
        <w:rPr>
          <w:rFonts w:asciiTheme="minorHAnsi" w:hAnsiTheme="minorHAnsi" w:cstheme="minorHAnsi"/>
          <w:lang w:val="en-US" w:bidi="he-IL"/>
        </w:rPr>
        <w:t xml:space="preserve"> On the other hand, </w:t>
      </w:r>
      <w:r w:rsidRPr="002D7706">
        <w:rPr>
          <w:rFonts w:asciiTheme="minorHAnsi" w:hAnsiTheme="minorHAnsi" w:cstheme="minorHAnsi"/>
          <w:lang w:val="en-US"/>
        </w:rPr>
        <w:t>Burgess</w:t>
      </w:r>
      <w:r w:rsidRPr="002D7706">
        <w:rPr>
          <w:rFonts w:asciiTheme="minorHAnsi" w:hAnsiTheme="minorHAnsi" w:cstheme="minorHAnsi"/>
          <w:lang w:val="en-US" w:bidi="he-IL"/>
        </w:rPr>
        <w:t xml:space="preserve"> considers Dionysius as “perhaps the most influential intellectual father and spiritual master of Christian contemplatives both in East and West for a thousand years after his death. In the Middle Ages, his writings were put almost on the same footing as the inspired writers of Scripture.”</w:t>
      </w:r>
      <w:r w:rsidRPr="0013213B">
        <w:rPr>
          <w:rStyle w:val="FootnoteReference"/>
          <w:rFonts w:asciiTheme="minorHAnsi" w:hAnsiTheme="minorHAnsi" w:cstheme="minorHAnsi"/>
        </w:rPr>
        <w:footnoteReference w:id="153"/>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Other Eastern Orthodox writers also openly acknowledge that the Fathers’ borrowed from the Neoplatonic worldview. Lossky states that between Dionysius and Plotinus exists “a striking resemblance.”</w:t>
      </w:r>
      <w:r w:rsidRPr="0013213B">
        <w:rPr>
          <w:rStyle w:val="FootnoteReference"/>
          <w:rFonts w:asciiTheme="minorHAnsi" w:hAnsiTheme="minorHAnsi" w:cstheme="minorHAnsi"/>
          <w:lang w:bidi="he-IL"/>
        </w:rPr>
        <w:footnoteReference w:id="154"/>
      </w:r>
      <w:r w:rsidRPr="002D7706">
        <w:rPr>
          <w:rFonts w:asciiTheme="minorHAnsi" w:hAnsiTheme="minorHAnsi" w:cstheme="minorHAnsi"/>
          <w:lang w:val="en-US" w:bidi="he-IL"/>
        </w:rPr>
        <w:t xml:space="preserve"> Lossky considers that Plotinus reached the height of ancient (non-biblical) thought and claims that many Church Fathers assimilated his thought and brought it to completion.</w:t>
      </w:r>
      <w:r w:rsidRPr="0013213B">
        <w:rPr>
          <w:rStyle w:val="FootnoteReference"/>
          <w:rFonts w:asciiTheme="minorHAnsi" w:hAnsiTheme="minorHAnsi" w:cstheme="minorHAnsi"/>
          <w:lang w:bidi="he-IL"/>
        </w:rPr>
        <w:footnoteReference w:id="155"/>
      </w:r>
      <w:r w:rsidRPr="002D7706">
        <w:rPr>
          <w:rFonts w:asciiTheme="minorHAnsi" w:hAnsiTheme="minorHAnsi" w:cstheme="minorHAnsi"/>
          <w:lang w:val="en-US" w:bidi="he-IL"/>
        </w:rPr>
        <w:t xml:space="preserve"> Archimandrite Nikon lists Plotinus among early Christian writers and says of him, “Plotinus taught of ‘God-likeness’ even more precisely.”</w:t>
      </w:r>
      <w:r w:rsidRPr="0013213B">
        <w:rPr>
          <w:rStyle w:val="FootnoteReference"/>
          <w:rFonts w:asciiTheme="minorHAnsi" w:hAnsiTheme="minorHAnsi" w:cstheme="minorHAnsi"/>
          <w:lang w:bidi="he-IL"/>
        </w:rPr>
        <w:footnoteReference w:id="156"/>
      </w:r>
      <w:r w:rsidRPr="002D7706">
        <w:rPr>
          <w:rFonts w:asciiTheme="minorHAnsi" w:hAnsiTheme="minorHAnsi" w:cstheme="minorHAnsi"/>
          <w:lang w:val="en-US" w:bidi="he-IL"/>
        </w:rPr>
        <w:t xml:space="preserve"> Furthermore, Nikon quotes him authoritatively, as in the example: “The human mind is only the reflection of the Eternal and First Mind, with which is shares common features. In this case, the human mind, as a symbol and reflection of the Eternal Mind, teaches us through contemplation of it to ascend to the First Image, the Eternal Mind.”</w:t>
      </w:r>
      <w:r w:rsidRPr="0013213B">
        <w:rPr>
          <w:rStyle w:val="FootnoteReference"/>
          <w:rFonts w:asciiTheme="minorHAnsi" w:hAnsiTheme="minorHAnsi" w:cstheme="minorHAnsi"/>
          <w:lang w:bidi="he-IL"/>
        </w:rPr>
        <w:footnoteReference w:id="157"/>
      </w:r>
    </w:p>
    <w:p w:rsidR="00E53BD1" w:rsidRPr="002D7706" w:rsidRDefault="00E53BD1" w:rsidP="00E53BD1">
      <w:pPr>
        <w:ind w:firstLine="360"/>
        <w:rPr>
          <w:rFonts w:asciiTheme="minorHAnsi" w:hAnsiTheme="minorHAnsi" w:cstheme="minorHAnsi"/>
          <w:lang w:val="en-US"/>
        </w:rPr>
      </w:pPr>
      <w:r w:rsidRPr="002D7706">
        <w:rPr>
          <w:rFonts w:asciiTheme="minorHAnsi" w:hAnsiTheme="minorHAnsi" w:cstheme="minorHAnsi"/>
          <w:lang w:val="en-US"/>
        </w:rPr>
        <w:t>Aside from Neoplatonism, Greek philosophy in general influenced patristic theology. Andrey Kuraev writes, “Saint Basil the Great and Saint Gregory Nazianzen were able to complete studies at the University in Athens (a still pagan institution) before it closed and counseled their disciples to include in their Christian walk the great pagan authors.</w:t>
      </w:r>
      <w:r w:rsidRPr="0013213B">
        <w:rPr>
          <w:rStyle w:val="FootnoteReference"/>
          <w:rFonts w:asciiTheme="minorHAnsi" w:hAnsiTheme="minorHAnsi" w:cstheme="minorHAnsi"/>
        </w:rPr>
        <w:footnoteReference w:id="158"/>
      </w:r>
      <w:r w:rsidRPr="002D7706">
        <w:rPr>
          <w:rFonts w:asciiTheme="minorHAnsi" w:hAnsiTheme="minorHAnsi" w:cstheme="minorHAnsi"/>
          <w:lang w:val="en-US"/>
        </w:rPr>
        <w:t xml:space="preserve"> In comparing Eastern and Western theology, Kuraev also reveals the former’s dependence on Greek thought: “Rome never knew names like Aristotle and Socrates, Plato and Plotinus,”</w:t>
      </w:r>
      <w:r w:rsidRPr="0013213B">
        <w:rPr>
          <w:rStyle w:val="FootnoteReference"/>
          <w:rFonts w:asciiTheme="minorHAnsi" w:hAnsiTheme="minorHAnsi" w:cstheme="minorHAnsi"/>
        </w:rPr>
        <w:footnoteReference w:id="159"/>
      </w:r>
      <w:r w:rsidRPr="002D7706">
        <w:rPr>
          <w:rFonts w:asciiTheme="minorHAnsi" w:hAnsiTheme="minorHAnsi" w:cstheme="minorHAnsi"/>
          <w:lang w:val="en-US"/>
        </w:rPr>
        <w:t xml:space="preserve"> and, “The West received Aristotle and philosophers from antiquity (which were never lost to the Orthodox world)…”</w:t>
      </w:r>
      <w:r w:rsidRPr="0013213B">
        <w:rPr>
          <w:rStyle w:val="FootnoteReference"/>
          <w:rFonts w:asciiTheme="minorHAnsi" w:hAnsiTheme="minorHAnsi" w:cstheme="minorHAnsi"/>
        </w:rPr>
        <w:footnoteReference w:id="160"/>
      </w:r>
      <w:r w:rsidRPr="002D7706">
        <w:rPr>
          <w:rFonts w:asciiTheme="minorHAnsi" w:hAnsiTheme="minorHAnsi" w:cstheme="minorHAnsi"/>
          <w:lang w:val="en-US"/>
        </w:rPr>
        <w:t xml:space="preserve"> Lossky also sees value in borrowing from Greek philosophy: </w:t>
      </w:r>
    </w:p>
    <w:p w:rsidR="00E53BD1" w:rsidRPr="002D7706" w:rsidRDefault="00E53BD1" w:rsidP="00E53BD1">
      <w:pPr>
        <w:rPr>
          <w:rFonts w:asciiTheme="minorHAnsi" w:hAnsiTheme="minorHAnsi" w:cstheme="minorHAnsi"/>
          <w:lang w:val="en-US"/>
        </w:rPr>
      </w:pPr>
    </w:p>
    <w:p w:rsidR="00E53BD1" w:rsidRPr="002D7706" w:rsidRDefault="00E53BD1" w:rsidP="00E53BD1">
      <w:pPr>
        <w:ind w:left="720"/>
        <w:rPr>
          <w:rFonts w:asciiTheme="minorHAnsi" w:hAnsiTheme="minorHAnsi" w:cstheme="minorHAnsi"/>
          <w:lang w:val="en-US" w:bidi="he-IL"/>
        </w:rPr>
      </w:pPr>
      <w:r w:rsidRPr="002D7706">
        <w:rPr>
          <w:rFonts w:asciiTheme="minorHAnsi" w:hAnsiTheme="minorHAnsi" w:cstheme="minorHAnsi"/>
          <w:lang w:val="en-US" w:bidi="he-IL"/>
        </w:rPr>
        <w:t>Theology should be expressed in the language of the world. It was no accident that God placed the Church Fathers in a Greek context. The required philosophical clarity combined with a need for deep insight motivated them to purify and sanctify the language of the philosophers and mystics in order to communicate the Christian good news, giving it… its universal meaning.</w:t>
      </w:r>
      <w:r w:rsidRPr="0013213B">
        <w:rPr>
          <w:rStyle w:val="FootnoteReference"/>
          <w:rFonts w:asciiTheme="minorHAnsi" w:hAnsiTheme="minorHAnsi" w:cstheme="minorHAnsi"/>
          <w:lang w:bidi="he-IL"/>
        </w:rPr>
        <w:footnoteReference w:id="161"/>
      </w:r>
      <w:r w:rsidRPr="002D7706">
        <w:rPr>
          <w:rFonts w:asciiTheme="minorHAnsi" w:hAnsiTheme="minorHAnsi" w:cstheme="minorHAnsi"/>
          <w:lang w:val="en-US" w:bidi="he-IL"/>
        </w:rPr>
        <w:t xml:space="preserve"> </w:t>
      </w:r>
    </w:p>
    <w:p w:rsidR="00E53BD1" w:rsidRPr="002D7706" w:rsidRDefault="00E53BD1" w:rsidP="00E53BD1">
      <w:pPr>
        <w:ind w:firstLine="360"/>
        <w:rPr>
          <w:rFonts w:asciiTheme="minorHAnsi" w:hAnsiTheme="minorHAnsi" w:cstheme="minorHAnsi"/>
          <w:lang w:val="en-US" w:bidi="he-IL"/>
        </w:rPr>
      </w:pPr>
    </w:p>
    <w:p w:rsidR="00E53BD1" w:rsidRPr="002D7706" w:rsidRDefault="00E53BD1" w:rsidP="00E53BD1">
      <w:pPr>
        <w:ind w:firstLine="360"/>
        <w:rPr>
          <w:rFonts w:asciiTheme="minorHAnsi" w:hAnsiTheme="minorHAnsi" w:cstheme="minorHAnsi"/>
          <w:lang w:val="en-US" w:bidi="he-IL"/>
        </w:rPr>
      </w:pPr>
      <w:r w:rsidRPr="002D7706">
        <w:rPr>
          <w:rFonts w:asciiTheme="minorHAnsi" w:hAnsiTheme="minorHAnsi" w:cstheme="minorHAnsi"/>
          <w:lang w:val="en-US" w:bidi="he-IL"/>
        </w:rPr>
        <w:t>Zaitsev summarizes well the effect of Neoplatonism on early Christianity:</w:t>
      </w:r>
    </w:p>
    <w:p w:rsidR="00E53BD1" w:rsidRPr="002D7706" w:rsidRDefault="00E53BD1" w:rsidP="00E53BD1">
      <w:pPr>
        <w:rPr>
          <w:rFonts w:asciiTheme="minorHAnsi" w:hAnsiTheme="minorHAnsi" w:cstheme="minorHAnsi"/>
          <w:lang w:val="en-US" w:bidi="he-IL"/>
        </w:rPr>
      </w:pPr>
      <w:r w:rsidRPr="002D7706">
        <w:rPr>
          <w:rFonts w:asciiTheme="minorHAnsi" w:hAnsiTheme="minorHAnsi" w:cstheme="minorHAnsi"/>
          <w:lang w:val="en-US" w:bidi="he-IL"/>
        </w:rPr>
        <w:t xml:space="preserve"> </w:t>
      </w:r>
    </w:p>
    <w:p w:rsidR="00E53BD1" w:rsidRDefault="00E53BD1" w:rsidP="00E53BD1">
      <w:pPr>
        <w:ind w:left="720"/>
        <w:rPr>
          <w:rFonts w:asciiTheme="minorHAnsi" w:hAnsiTheme="minorHAnsi" w:cstheme="minorHAnsi"/>
          <w:lang w:val="en-US" w:bidi="he-IL"/>
        </w:rPr>
      </w:pPr>
      <w:r w:rsidRPr="002D7706">
        <w:rPr>
          <w:rFonts w:asciiTheme="minorHAnsi" w:hAnsiTheme="minorHAnsi" w:cstheme="minorHAnsi"/>
          <w:lang w:val="en-US" w:bidi="he-IL"/>
        </w:rPr>
        <w:t>In the mystical Christian tradition, a tendency is observed to speak about God in an obviously Neoplatonic manner, highlighting God’s unapproachable essence. This tendency reached its climax in the Areopagite, where His super-essential nature is constantly emphasized. It is seen in the works of Maximus the Confessor and Gregory Palamas as well.”</w:t>
      </w:r>
      <w:r w:rsidRPr="0013213B">
        <w:rPr>
          <w:rStyle w:val="FootnoteReference"/>
          <w:rFonts w:asciiTheme="minorHAnsi" w:hAnsiTheme="minorHAnsi" w:cstheme="minorHAnsi"/>
          <w:lang w:bidi="he-IL"/>
        </w:rPr>
        <w:footnoteReference w:id="162"/>
      </w:r>
      <w:r w:rsidRPr="002D7706">
        <w:rPr>
          <w:rFonts w:asciiTheme="minorHAnsi" w:hAnsiTheme="minorHAnsi" w:cstheme="minorHAnsi"/>
          <w:lang w:val="en-US" w:bidi="he-IL"/>
        </w:rPr>
        <w:t xml:space="preserve"> </w:t>
      </w:r>
    </w:p>
    <w:p w:rsidR="00E53BD1" w:rsidRPr="002D7706" w:rsidRDefault="00E53BD1" w:rsidP="00E53BD1">
      <w:pPr>
        <w:ind w:left="720"/>
        <w:rPr>
          <w:rFonts w:asciiTheme="minorHAnsi" w:hAnsiTheme="minorHAnsi" w:cstheme="minorHAnsi"/>
          <w:lang w:val="en-US" w:bidi="he-IL"/>
        </w:rPr>
      </w:pPr>
    </w:p>
    <w:p w:rsidR="00E53BD1" w:rsidRPr="002D7706" w:rsidRDefault="00E53BD1" w:rsidP="00E53BD1">
      <w:pPr>
        <w:pStyle w:val="Heading3"/>
        <w:rPr>
          <w:i/>
          <w:lang w:val="en-US" w:bidi="he-IL"/>
        </w:rPr>
      </w:pPr>
      <w:r w:rsidRPr="002D7706">
        <w:rPr>
          <w:lang w:val="en-US" w:bidi="he-IL"/>
        </w:rPr>
        <w:t>C. Comparison of Neoplatonism and Patristic Theology</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50"/>
        <w:rPr>
          <w:rFonts w:asciiTheme="minorHAnsi" w:hAnsiTheme="minorHAnsi" w:cstheme="minorHAnsi"/>
          <w:lang w:val="en-US" w:bidi="he-IL"/>
        </w:rPr>
      </w:pPr>
      <w:r w:rsidRPr="002D7706">
        <w:rPr>
          <w:rFonts w:asciiTheme="minorHAnsi" w:hAnsiTheme="minorHAnsi" w:cstheme="minorHAnsi"/>
          <w:lang w:val="en-US" w:bidi="he-IL"/>
        </w:rPr>
        <w:t>We will now investigate how the Neoplatonic worldview was expressed in the teaching of many Church Fathers and continues to find expression in the Church today, especially in the East. The teaching of the “ascent to God,” characteristic of Plotinus’ philosophy, is well accepted among Eastern Orthodox thinkers. Lossky, for example, writes that God’s “original plan was a direct and unmediated ascent of people to God.”</w:t>
      </w:r>
      <w:r w:rsidRPr="00673D96">
        <w:rPr>
          <w:rStyle w:val="FootnoteReference"/>
          <w:rFonts w:asciiTheme="minorHAnsi" w:hAnsiTheme="minorHAnsi" w:cstheme="minorHAnsi"/>
          <w:lang w:bidi="he-IL"/>
        </w:rPr>
        <w:footnoteReference w:id="163"/>
      </w:r>
      <w:r w:rsidRPr="002D7706">
        <w:rPr>
          <w:rFonts w:asciiTheme="minorHAnsi" w:hAnsiTheme="minorHAnsi" w:cstheme="minorHAnsi"/>
          <w:lang w:val="en-US" w:bidi="he-IL"/>
        </w:rPr>
        <w:t xml:space="preserve"> This ascent is connected to an “effusion” from God and “descent” by God. Florovsky comments on the presence of this idea among earlier writers: “Following St. Gregory and Pseudo-Dionysius, St. Maximus speaks of a charitable effusion or imparting of Good</w:t>
      </w:r>
      <w:r w:rsidRPr="002D7706">
        <w:rPr>
          <w:rFonts w:asciiTheme="minorHAnsi" w:hAnsiTheme="minorHAnsi" w:cstheme="minorHAnsi"/>
          <w:lang w:val="en-US"/>
        </w:rPr>
        <w:t xml:space="preserve"> </w:t>
      </w:r>
      <w:r w:rsidRPr="002D7706">
        <w:rPr>
          <w:rFonts w:asciiTheme="minorHAnsi" w:hAnsiTheme="minorHAnsi" w:cstheme="minorHAnsi"/>
          <w:lang w:val="en-US" w:bidi="he-IL"/>
        </w:rPr>
        <w:t>– a Neoplatonic image.”</w:t>
      </w:r>
      <w:r w:rsidRPr="00673D96">
        <w:rPr>
          <w:rStyle w:val="FootnoteReference"/>
          <w:rFonts w:asciiTheme="minorHAnsi" w:hAnsiTheme="minorHAnsi" w:cstheme="minorHAnsi"/>
          <w:lang w:bidi="he-IL"/>
        </w:rPr>
        <w:footnoteReference w:id="164"/>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We also note in this regard the patristic doctrine of salvation through the incarnation of God’s Son, as discussed and refuted in chapter 10 of volume 3 in this series.</w:t>
      </w:r>
      <w:r w:rsidRPr="002D7706">
        <w:rPr>
          <w:rFonts w:asciiTheme="minorHAnsi" w:hAnsiTheme="minorHAnsi" w:cstheme="minorHAnsi"/>
          <w:color w:val="FF0000"/>
          <w:lang w:val="en-US" w:bidi="he-IL"/>
        </w:rPr>
        <w:t xml:space="preserve"> </w:t>
      </w:r>
      <w:r w:rsidRPr="002D7706">
        <w:rPr>
          <w:rFonts w:asciiTheme="minorHAnsi" w:hAnsiTheme="minorHAnsi" w:cstheme="minorHAnsi"/>
          <w:lang w:val="en-US" w:bidi="he-IL"/>
        </w:rPr>
        <w:t>The Son of God must become incarnate (i.e., “descend”) in order to become an ontological “bridge” between the uncreated God and created humanity, thus making possible people’s “ascent” to God. Many Church Fathers echoed the following thought: “The Son became man, so that man might become God.” However, representing Jesus as a “bridge” corresponds, in Meyendorff’s words, to an “’Alexandrian worldview,’ according to which the world is structured by the principle of a hierarchical ladder.”</w:t>
      </w:r>
      <w:r w:rsidRPr="00673D96">
        <w:rPr>
          <w:rStyle w:val="FootnoteReference"/>
          <w:rFonts w:asciiTheme="minorHAnsi" w:hAnsiTheme="minorHAnsi" w:cstheme="minorHAnsi"/>
          <w:lang w:bidi="he-IL"/>
        </w:rPr>
        <w:footnoteReference w:id="165"/>
      </w:r>
      <w:r w:rsidRPr="002D7706">
        <w:rPr>
          <w:rFonts w:asciiTheme="minorHAnsi" w:hAnsiTheme="minorHAnsi" w:cstheme="minorHAnsi"/>
          <w:lang w:val="en-US" w:bidi="he-IL"/>
        </w:rPr>
        <w:t xml:space="preserve"> It is necessary “to fill up the gap between the absolute God and relative creation.”</w:t>
      </w:r>
      <w:r w:rsidRPr="00673D96">
        <w:rPr>
          <w:rStyle w:val="FootnoteReference"/>
          <w:rFonts w:asciiTheme="minorHAnsi" w:hAnsiTheme="minorHAnsi" w:cstheme="minorHAnsi"/>
          <w:lang w:bidi="he-IL"/>
        </w:rPr>
        <w:footnoteReference w:id="166"/>
      </w:r>
      <w:r w:rsidRPr="002D7706">
        <w:rPr>
          <w:rFonts w:asciiTheme="minorHAnsi" w:hAnsiTheme="minorHAnsi" w:cstheme="minorHAnsi"/>
          <w:lang w:val="en-US" w:bidi="he-IL"/>
        </w:rPr>
        <w:t xml:space="preserve"> Meyendorff acknowledges, “This was, however, a Hellenistic cosmology, dressed in Christian clothing.”</w:t>
      </w:r>
      <w:r w:rsidRPr="00673D96">
        <w:rPr>
          <w:rStyle w:val="FootnoteReference"/>
          <w:rFonts w:asciiTheme="minorHAnsi" w:hAnsiTheme="minorHAnsi" w:cstheme="minorHAnsi"/>
          <w:lang w:bidi="he-IL"/>
        </w:rPr>
        <w:footnoteReference w:id="167"/>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In the following except from Pseudo-Dionysius, we see a clear connection between his theology and the Neoplatonic conception of emanations from the One:</w:t>
      </w:r>
    </w:p>
    <w:p w:rsidR="00E53BD1" w:rsidRPr="002D7706" w:rsidRDefault="00E53BD1" w:rsidP="00E53BD1">
      <w:pPr>
        <w:rPr>
          <w:rFonts w:asciiTheme="minorHAnsi" w:hAnsiTheme="minorHAnsi" w:cstheme="minorHAnsi"/>
          <w:lang w:val="en-US"/>
        </w:rPr>
      </w:pPr>
    </w:p>
    <w:p w:rsidR="00E53BD1" w:rsidRPr="002D7706" w:rsidRDefault="00E53BD1" w:rsidP="00E53BD1">
      <w:pPr>
        <w:ind w:left="720"/>
        <w:rPr>
          <w:rFonts w:asciiTheme="minorHAnsi" w:hAnsiTheme="minorHAnsi" w:cstheme="minorHAnsi"/>
          <w:lang w:val="en-US"/>
        </w:rPr>
      </w:pPr>
      <w:r w:rsidRPr="002D7706">
        <w:rPr>
          <w:rFonts w:asciiTheme="minorHAnsi" w:hAnsiTheme="minorHAnsi" w:cstheme="minorHAnsi"/>
          <w:lang w:val="en-US"/>
        </w:rPr>
        <w:t>Since the All-perfect Goodness, in passing through all, not only passes to the All-good beings around Itself, but extends Itself to the most remote, by being present to some thoroughly, to others subordinately, but to the rest, in the most remote degree, as each existing thing is able to participate in It. And some things, indeed, participate in the Good entirely, whilst others are deprived of It, in a more or less degree, but others possess a more obscure participation in the Good; and to the rest, the Good is present as a most distant echo.</w:t>
      </w:r>
      <w:r w:rsidRPr="00673D96">
        <w:rPr>
          <w:rStyle w:val="FootnoteReference"/>
          <w:rFonts w:asciiTheme="minorHAnsi" w:hAnsiTheme="minorHAnsi" w:cstheme="minorHAnsi"/>
        </w:rPr>
        <w:footnoteReference w:id="168"/>
      </w:r>
      <w:r w:rsidRPr="002D7706">
        <w:rPr>
          <w:rFonts w:asciiTheme="minorHAnsi" w:hAnsiTheme="minorHAnsi" w:cstheme="minorHAnsi"/>
          <w:lang w:val="en-US"/>
        </w:rPr>
        <w:t xml:space="preserve"> </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Keck claims that Pseudo-Dionysius’ concept of an angelic hierarchy (see chapter 13 in volume 3 in this series) comes from Neoplatonism. He comments, “Each higher order of angels transmits knowledge and instruction through the next lower angels, and only the lowest rank of angels, the angels, interacts with the mundane world directly.”</w:t>
      </w:r>
      <w:r w:rsidRPr="00673D96">
        <w:rPr>
          <w:rStyle w:val="FootnoteReference"/>
          <w:rFonts w:asciiTheme="minorHAnsi" w:hAnsiTheme="minorHAnsi" w:cstheme="minorHAnsi"/>
        </w:rPr>
        <w:footnoteReference w:id="169"/>
      </w:r>
      <w:r w:rsidRPr="002D7706">
        <w:rPr>
          <w:rFonts w:asciiTheme="minorHAnsi" w:hAnsiTheme="minorHAnsi" w:cstheme="minorHAnsi"/>
          <w:lang w:val="en-US"/>
        </w:rPr>
        <w:t xml:space="preserve"> Burgess adds that the </w:t>
      </w:r>
      <w:r w:rsidRPr="002D7706">
        <w:rPr>
          <w:rFonts w:asciiTheme="minorHAnsi" w:hAnsiTheme="minorHAnsi" w:cstheme="minorHAnsi"/>
          <w:lang w:val="en-US" w:bidi="he-IL"/>
        </w:rPr>
        <w:t>hierarchy of angels aids people to attain unification with God.</w:t>
      </w:r>
      <w:r w:rsidRPr="00673D96">
        <w:rPr>
          <w:rStyle w:val="FootnoteReference"/>
          <w:rFonts w:asciiTheme="minorHAnsi" w:hAnsiTheme="minorHAnsi" w:cstheme="minorHAnsi"/>
          <w:lang w:bidi="he-IL"/>
        </w:rPr>
        <w:footnoteReference w:id="170"/>
      </w:r>
      <w:r w:rsidRPr="002D7706">
        <w:rPr>
          <w:rFonts w:asciiTheme="minorHAnsi" w:hAnsiTheme="minorHAnsi" w:cstheme="minorHAnsi"/>
          <w:lang w:val="en-US"/>
        </w:rPr>
        <w:t xml:space="preserve"> In his work </w:t>
      </w:r>
      <w:r w:rsidRPr="002D7706">
        <w:rPr>
          <w:rFonts w:asciiTheme="minorHAnsi" w:hAnsiTheme="minorHAnsi" w:cstheme="minorHAnsi"/>
          <w:i/>
          <w:iCs/>
          <w:lang w:val="en-US"/>
        </w:rPr>
        <w:t>An Exact Exposition of Orthodox Faith</w:t>
      </w:r>
      <w:r w:rsidRPr="002D7706">
        <w:rPr>
          <w:rFonts w:asciiTheme="minorHAnsi" w:hAnsiTheme="minorHAnsi" w:cstheme="minorHAnsi"/>
          <w:lang w:val="en-US"/>
        </w:rPr>
        <w:t xml:space="preserve">, John of Damascus approves of </w:t>
      </w:r>
      <w:r w:rsidRPr="002D7706">
        <w:rPr>
          <w:rFonts w:asciiTheme="minorHAnsi" w:hAnsiTheme="minorHAnsi" w:cstheme="minorHAnsi"/>
          <w:lang w:val="en-US" w:bidi="he-IL"/>
        </w:rPr>
        <w:t>Pseudo-Dionysius’ concept of an angelic hierarchy</w:t>
      </w:r>
      <w:r w:rsidRPr="002D7706">
        <w:rPr>
          <w:rFonts w:asciiTheme="minorHAnsi" w:hAnsiTheme="minorHAnsi" w:cstheme="minorHAnsi"/>
          <w:lang w:val="en-US"/>
        </w:rPr>
        <w:t xml:space="preserve"> </w:t>
      </w:r>
      <w:r w:rsidRPr="002D7706">
        <w:rPr>
          <w:rFonts w:asciiTheme="minorHAnsi" w:hAnsiTheme="minorHAnsi" w:cstheme="minorHAnsi"/>
          <w:lang w:val="en-US" w:bidi="he-IL"/>
        </w:rPr>
        <w:t xml:space="preserve">(see 2.3).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Furthermore, Pseudo-Dionysius speaks of God as the “One”: “But One, because He is uniquely all, as beseems an excess of unique Oneness, and is Cause of all without departing from the One.”</w:t>
      </w:r>
      <w:r w:rsidRPr="00673D96">
        <w:rPr>
          <w:rStyle w:val="FootnoteReference"/>
          <w:rFonts w:asciiTheme="minorHAnsi" w:hAnsiTheme="minorHAnsi" w:cstheme="minorHAnsi"/>
          <w:lang w:bidi="he-IL"/>
        </w:rPr>
        <w:footnoteReference w:id="171"/>
      </w:r>
      <w:r w:rsidRPr="002D7706">
        <w:rPr>
          <w:rFonts w:asciiTheme="minorHAnsi" w:hAnsiTheme="minorHAnsi" w:cstheme="minorHAnsi"/>
          <w:lang w:val="en-US" w:bidi="he-IL"/>
        </w:rPr>
        <w:t xml:space="preserve"> Like the Neoplatonic understanding of the impersonal One, the God of Pseudo-Dionysius is “in absolute rest and does not manifest Himself externally in way.”</w:t>
      </w:r>
      <w:r w:rsidRPr="00673D96">
        <w:rPr>
          <w:rStyle w:val="FootnoteReference"/>
          <w:rFonts w:asciiTheme="minorHAnsi" w:hAnsiTheme="minorHAnsi" w:cstheme="minorHAnsi"/>
          <w:lang w:bidi="he-IL"/>
        </w:rPr>
        <w:footnoteReference w:id="172"/>
      </w:r>
      <w:r w:rsidRPr="002D7706">
        <w:rPr>
          <w:rFonts w:asciiTheme="minorHAnsi" w:hAnsiTheme="minorHAnsi" w:cstheme="minorHAnsi"/>
          <w:lang w:val="en-US" w:bidi="he-IL"/>
        </w:rPr>
        <w:t xml:space="preserve"> Lossky supports this view: “The one God abides in absolute rest, and His perfect ‘immobility’ places Him outside of time and space.”</w:t>
      </w:r>
      <w:r w:rsidRPr="00673D96">
        <w:rPr>
          <w:rStyle w:val="FootnoteReference"/>
          <w:rFonts w:asciiTheme="minorHAnsi" w:hAnsiTheme="minorHAnsi" w:cstheme="minorHAnsi"/>
          <w:lang w:bidi="he-IL"/>
        </w:rPr>
        <w:footnoteReference w:id="173"/>
      </w:r>
      <w:r w:rsidRPr="002D7706">
        <w:rPr>
          <w:rFonts w:asciiTheme="minorHAnsi" w:hAnsiTheme="minorHAnsi" w:cstheme="minorHAnsi"/>
          <w:lang w:val="en-US" w:bidi="he-IL"/>
        </w:rPr>
        <w:t xml:space="preserve"> Nikon notes that God, in His essence, enjoys “eternal rest.”</w:t>
      </w:r>
      <w:r w:rsidRPr="00673D96">
        <w:rPr>
          <w:rStyle w:val="FootnoteReference"/>
          <w:rFonts w:asciiTheme="minorHAnsi" w:hAnsiTheme="minorHAnsi" w:cstheme="minorHAnsi"/>
          <w:lang w:bidi="he-IL"/>
        </w:rPr>
        <w:footnoteReference w:id="174"/>
      </w:r>
      <w:r w:rsidRPr="002D7706">
        <w:rPr>
          <w:rFonts w:asciiTheme="minorHAnsi" w:hAnsiTheme="minorHAnsi" w:cstheme="minorHAnsi"/>
          <w:lang w:val="en-US" w:bidi="he-IL"/>
        </w:rPr>
        <w:t xml:space="preserve"> Bray affirms that such a view derives from a Neoplatonism worldview, where God is found in “uninterrupted tranquility.”</w:t>
      </w:r>
      <w:r w:rsidRPr="00673D96">
        <w:rPr>
          <w:rStyle w:val="FootnoteReference"/>
          <w:rFonts w:asciiTheme="minorHAnsi" w:hAnsiTheme="minorHAnsi" w:cstheme="minorHAnsi"/>
          <w:lang w:bidi="he-IL"/>
        </w:rPr>
        <w:footnoteReference w:id="175"/>
      </w:r>
      <w:r w:rsidRPr="002D7706">
        <w:rPr>
          <w:rFonts w:asciiTheme="minorHAnsi" w:hAnsiTheme="minorHAnsi" w:cstheme="minorHAnsi"/>
          <w:lang w:val="en-US" w:bidi="he-IL"/>
        </w:rPr>
        <w:t xml:space="preserve"> Bloesch makes the following objection to “Christian mysticism” in general:  </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left="720"/>
        <w:rPr>
          <w:rFonts w:asciiTheme="minorHAnsi" w:hAnsiTheme="minorHAnsi" w:cstheme="minorHAnsi"/>
          <w:lang w:val="en-US"/>
        </w:rPr>
      </w:pPr>
      <w:r w:rsidRPr="002D7706">
        <w:rPr>
          <w:rFonts w:asciiTheme="minorHAnsi" w:hAnsiTheme="minorHAnsi" w:cstheme="minorHAnsi"/>
          <w:lang w:val="en-US" w:bidi="he-IL"/>
        </w:rPr>
        <w:t>The Christian mystic sought to maintain the catholic doctrine of the Trinity, but by envisaging God in Neoplatonic terms as a motionless, undifferentiated unity they were not able to preserve the biblical conception of a God who actively works in history and identifies with our pain and sorrow. To find the pure god, they said, we need to rise above words and images, time and materiality, to the realm of pure spirit</w:t>
      </w:r>
      <w:r w:rsidRPr="002D7706">
        <w:rPr>
          <w:rFonts w:asciiTheme="minorHAnsi" w:hAnsiTheme="minorHAnsi" w:cstheme="minorHAnsi"/>
          <w:lang w:val="en-US"/>
        </w:rPr>
        <w:t>.</w:t>
      </w:r>
      <w:r w:rsidRPr="00673D96">
        <w:rPr>
          <w:rStyle w:val="FootnoteReference"/>
          <w:rFonts w:asciiTheme="minorHAnsi" w:hAnsiTheme="minorHAnsi" w:cstheme="minorHAnsi"/>
        </w:rPr>
        <w:footnoteReference w:id="176"/>
      </w:r>
    </w:p>
    <w:p w:rsidR="00E53BD1" w:rsidRPr="002D7706" w:rsidRDefault="00E53BD1" w:rsidP="00E53BD1">
      <w:pPr>
        <w:ind w:firstLine="426"/>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We also find coherence between the Neoplatonic idea that “all returns to the One and unites with Him” and the following statement by Metropolitan of Moscow Philaret: “(His glory) is bestowed from Him, accepted by the participants, returns to Him, and in this, so to speak, the circulation of the glory of God consists of the blessed life and well-being of creation.”</w:t>
      </w:r>
      <w:r w:rsidRPr="00673D96">
        <w:rPr>
          <w:rStyle w:val="FootnoteReference"/>
          <w:rFonts w:asciiTheme="minorHAnsi" w:hAnsiTheme="minorHAnsi" w:cstheme="minorHAnsi"/>
          <w:lang w:bidi="he-IL"/>
        </w:rPr>
        <w:footnoteReference w:id="177"/>
      </w:r>
      <w:r w:rsidRPr="002D7706">
        <w:rPr>
          <w:rFonts w:asciiTheme="minorHAnsi" w:hAnsiTheme="minorHAnsi" w:cstheme="minorHAnsi"/>
          <w:lang w:val="en-US" w:bidi="he-IL"/>
        </w:rPr>
        <w:t xml:space="preserve"> Pseudo-Dionysius concurs, “There is no single thing which does not participate in some way in the one, which uniformly pre-held in the uniqueness throughout all, all and whole, all, even the things opposed.</w:t>
      </w:r>
      <w:r>
        <w:rPr>
          <w:rFonts w:asciiTheme="minorHAnsi" w:hAnsiTheme="minorHAnsi" w:cstheme="minorHAnsi"/>
          <w:lang w:val="en-US" w:bidi="he-IL"/>
        </w:rPr>
        <w:t>”</w:t>
      </w:r>
      <w:r w:rsidRPr="00673D96">
        <w:rPr>
          <w:rStyle w:val="FootnoteReference"/>
          <w:rFonts w:asciiTheme="minorHAnsi" w:hAnsiTheme="minorHAnsi" w:cstheme="minorHAnsi"/>
          <w:lang w:bidi="he-IL"/>
        </w:rPr>
        <w:footnoteReference w:id="178"/>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Archimandrite Nikon proposes that people play a key role in this cycle: “People, abiding in God, must lead all creation to deification, for which purpose all creation received its existence from God.”</w:t>
      </w:r>
      <w:r w:rsidRPr="00673D96">
        <w:rPr>
          <w:rStyle w:val="FootnoteReference"/>
          <w:rFonts w:asciiTheme="minorHAnsi" w:hAnsiTheme="minorHAnsi" w:cstheme="minorHAnsi"/>
          <w:lang w:bidi="he-IL"/>
        </w:rPr>
        <w:footnoteReference w:id="179"/>
      </w:r>
      <w:r w:rsidRPr="002D7706">
        <w:rPr>
          <w:rFonts w:asciiTheme="minorHAnsi" w:hAnsiTheme="minorHAnsi" w:cstheme="minorHAnsi"/>
          <w:lang w:val="en-US" w:bidi="he-IL"/>
        </w:rPr>
        <w:t xml:space="preserve"> Florovsky cites the teaching of Maximus the Confessor in this regard: “Man must unite everything in himself and</w:t>
      </w:r>
      <w:r>
        <w:rPr>
          <w:rFonts w:asciiTheme="minorHAnsi" w:hAnsiTheme="minorHAnsi" w:cstheme="minorHAnsi"/>
          <w:lang w:val="en-US" w:bidi="he-IL"/>
        </w:rPr>
        <w:t xml:space="preserve"> through himself unite with God,</w:t>
      </w:r>
      <w:r w:rsidRPr="002D7706">
        <w:rPr>
          <w:rFonts w:asciiTheme="minorHAnsi" w:hAnsiTheme="minorHAnsi" w:cstheme="minorHAnsi"/>
          <w:lang w:val="en-US" w:bidi="he-IL"/>
        </w:rPr>
        <w:t>”</w:t>
      </w:r>
      <w:r w:rsidRPr="00673D96">
        <w:rPr>
          <w:rStyle w:val="FootnoteReference"/>
          <w:rFonts w:asciiTheme="minorHAnsi" w:hAnsiTheme="minorHAnsi" w:cstheme="minorHAnsi"/>
          <w:lang w:bidi="he-IL"/>
        </w:rPr>
        <w:footnoteReference w:id="180"/>
      </w:r>
      <w:r w:rsidRPr="002D7706">
        <w:rPr>
          <w:rFonts w:asciiTheme="minorHAnsi" w:hAnsiTheme="minorHAnsi" w:cstheme="minorHAnsi"/>
          <w:lang w:val="en-US" w:bidi="he-IL"/>
        </w:rPr>
        <w:t xml:space="preserve"> </w:t>
      </w:r>
      <w:r>
        <w:rPr>
          <w:rFonts w:asciiTheme="minorHAnsi" w:hAnsiTheme="minorHAnsi" w:cstheme="minorHAnsi"/>
          <w:lang w:val="en-US" w:bidi="he-IL"/>
        </w:rPr>
        <w:t>and</w:t>
      </w:r>
      <w:r w:rsidRPr="002D7706">
        <w:rPr>
          <w:rFonts w:asciiTheme="minorHAnsi" w:hAnsiTheme="minorHAnsi" w:cstheme="minorHAnsi"/>
          <w:lang w:val="en-US" w:bidi="he-IL"/>
        </w:rPr>
        <w:t>, “The multitude of creatures are united around the sin</w:t>
      </w:r>
      <w:r>
        <w:rPr>
          <w:rFonts w:asciiTheme="minorHAnsi" w:hAnsiTheme="minorHAnsi" w:cstheme="minorHAnsi"/>
          <w:lang w:val="en-US" w:bidi="he-IL"/>
        </w:rPr>
        <w:t>gle human nature.</w:t>
      </w:r>
      <w:r w:rsidRPr="002D7706">
        <w:rPr>
          <w:rFonts w:asciiTheme="minorHAnsi" w:hAnsiTheme="minorHAnsi" w:cstheme="minorHAnsi"/>
          <w:lang w:val="en-US" w:bidi="he-IL"/>
        </w:rPr>
        <w:t>”</w:t>
      </w:r>
      <w:r w:rsidRPr="00673D96">
        <w:rPr>
          <w:rStyle w:val="FootnoteReference"/>
          <w:rFonts w:asciiTheme="minorHAnsi" w:hAnsiTheme="minorHAnsi" w:cstheme="minorHAnsi"/>
          <w:lang w:bidi="he-IL"/>
        </w:rPr>
        <w:footnoteReference w:id="181"/>
      </w:r>
      <w:r w:rsidRPr="002D7706">
        <w:rPr>
          <w:rFonts w:asciiTheme="minorHAnsi" w:hAnsiTheme="minorHAnsi" w:cstheme="minorHAnsi"/>
          <w:lang w:val="en-US" w:bidi="he-IL"/>
        </w:rPr>
        <w:t xml:space="preserve"> </w:t>
      </w:r>
      <w:r>
        <w:rPr>
          <w:rFonts w:asciiTheme="minorHAnsi" w:hAnsiTheme="minorHAnsi" w:cstheme="minorHAnsi"/>
          <w:lang w:val="en-US" w:bidi="he-IL"/>
        </w:rPr>
        <w:t>Nikon c</w:t>
      </w:r>
      <w:r w:rsidRPr="002D7706">
        <w:rPr>
          <w:rFonts w:asciiTheme="minorHAnsi" w:hAnsiTheme="minorHAnsi" w:cstheme="minorHAnsi"/>
          <w:lang w:val="en-US" w:bidi="he-IL"/>
        </w:rPr>
        <w:t>onfirms, “The lives of the holy Fathers testify that people who attain a high level of deification, deeply experience their unity with their entire surrounding world, awaiting the revelation of the children of God (Rom 8:18-22).”</w:t>
      </w:r>
      <w:r w:rsidRPr="00673D96">
        <w:rPr>
          <w:rStyle w:val="FootnoteReference"/>
          <w:rFonts w:asciiTheme="minorHAnsi" w:hAnsiTheme="minorHAnsi" w:cstheme="minorHAnsi"/>
          <w:lang w:bidi="he-IL"/>
        </w:rPr>
        <w:footnoteReference w:id="182"/>
      </w:r>
      <w:r w:rsidRPr="002D7706">
        <w:rPr>
          <w:rFonts w:asciiTheme="minorHAnsi" w:hAnsiTheme="minorHAnsi" w:cstheme="minorHAnsi"/>
          <w:lang w:val="en-US" w:bidi="he-IL"/>
        </w:rPr>
        <w:t xml:space="preserve"> </w:t>
      </w:r>
      <w:r>
        <w:rPr>
          <w:rFonts w:asciiTheme="minorHAnsi" w:hAnsiTheme="minorHAnsi" w:cstheme="minorHAnsi"/>
          <w:lang w:val="en-US" w:bidi="he-IL"/>
        </w:rPr>
        <w:t>Maximus summarizes</w:t>
      </w:r>
      <w:r w:rsidRPr="002D7706">
        <w:rPr>
          <w:rFonts w:asciiTheme="minorHAnsi" w:hAnsiTheme="minorHAnsi" w:cstheme="minorHAnsi"/>
          <w:lang w:val="en-US" w:bidi="he-IL"/>
        </w:rPr>
        <w:t>, “Everything will manifest God alone. Nothing will remain outside of God.… Everything will be deified – God will be everything, and in everything.”</w:t>
      </w:r>
      <w:r w:rsidRPr="00673D96">
        <w:rPr>
          <w:rStyle w:val="FootnoteReference"/>
          <w:rFonts w:asciiTheme="minorHAnsi" w:hAnsiTheme="minorHAnsi" w:cstheme="minorHAnsi"/>
          <w:lang w:bidi="he-IL"/>
        </w:rPr>
        <w:footnoteReference w:id="183"/>
      </w:r>
      <w:r w:rsidRPr="002D7706">
        <w:rPr>
          <w:rFonts w:asciiTheme="minorHAnsi" w:hAnsiTheme="minorHAnsi" w:cstheme="minorHAnsi"/>
          <w:lang w:val="en-US" w:bidi="he-IL"/>
        </w:rPr>
        <w:t xml:space="preserve"> </w:t>
      </w:r>
    </w:p>
    <w:p w:rsidR="00E53BD1" w:rsidRPr="002D7706" w:rsidRDefault="00E53BD1" w:rsidP="00E53BD1">
      <w:pPr>
        <w:tabs>
          <w:tab w:val="num" w:pos="2880"/>
        </w:tabs>
        <w:ind w:firstLine="426"/>
        <w:rPr>
          <w:rFonts w:asciiTheme="minorHAnsi" w:hAnsiTheme="minorHAnsi" w:cstheme="minorHAnsi"/>
          <w:lang w:val="en-US" w:bidi="he-IL"/>
        </w:rPr>
      </w:pPr>
      <w:r w:rsidRPr="002D7706">
        <w:rPr>
          <w:rFonts w:asciiTheme="minorHAnsi" w:hAnsiTheme="minorHAnsi" w:cstheme="minorHAnsi"/>
          <w:lang w:val="en-US" w:bidi="he-IL"/>
        </w:rPr>
        <w:t>So then, the human dilemma and dilemma of all creation is a descent into a condition of “disunity,” which leads to disfellowship with the “One.” Lossky writes, “After the original sin, human nature is divided, fractured, and torn apart into many individuals.“</w:t>
      </w:r>
      <w:r w:rsidRPr="00673D96">
        <w:rPr>
          <w:rStyle w:val="FootnoteReference"/>
          <w:rFonts w:asciiTheme="minorHAnsi" w:hAnsiTheme="minorHAnsi" w:cstheme="minorHAnsi"/>
          <w:lang w:bidi="he-IL"/>
        </w:rPr>
        <w:footnoteReference w:id="184"/>
      </w:r>
      <w:r w:rsidRPr="002D7706">
        <w:rPr>
          <w:rFonts w:asciiTheme="minorHAnsi" w:hAnsiTheme="minorHAnsi" w:cstheme="minorHAnsi"/>
          <w:lang w:val="en-US" w:bidi="he-IL"/>
        </w:rPr>
        <w:t xml:space="preserve"> According to the teaching of Maximus the Confessor, the elimination of disunity in creation must take place gradually. First, the distinctions between the male and female genders must go, then between Paradise and earth, heaven and earth, spiritual and sensual nature, and, in conclusion, between the Creator and the creature.</w:t>
      </w:r>
      <w:r w:rsidRPr="00673D96">
        <w:rPr>
          <w:rStyle w:val="FootnoteReference"/>
          <w:rFonts w:asciiTheme="minorHAnsi" w:hAnsiTheme="minorHAnsi" w:cstheme="minorHAnsi"/>
          <w:lang w:bidi="he-IL"/>
        </w:rPr>
        <w:footnoteReference w:id="185"/>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The apophatic understanding of God’s incomprehensibility also derives from Neoplatonism. Meyendorff writes in this regard, “Dionysius follows apophatic theology: as among Neoplatonists, God is unknowable, ineffable, and cannot be subject to any affirmative definition.”</w:t>
      </w:r>
      <w:r w:rsidRPr="00673D96">
        <w:rPr>
          <w:rStyle w:val="FootnoteReference"/>
          <w:rFonts w:asciiTheme="minorHAnsi" w:hAnsiTheme="minorHAnsi" w:cstheme="minorHAnsi"/>
          <w:lang w:bidi="he-IL"/>
        </w:rPr>
        <w:footnoteReference w:id="186"/>
      </w:r>
      <w:r w:rsidRPr="002D7706">
        <w:rPr>
          <w:rFonts w:asciiTheme="minorHAnsi" w:hAnsiTheme="minorHAnsi" w:cstheme="minorHAnsi"/>
          <w:lang w:val="en-US" w:bidi="he-IL"/>
        </w:rPr>
        <w:t xml:space="preserve"> Lossky acknowledges this similarity: “This approach (i.e. apophatism) is also employed by Neoplatonists and in Hinduism.”</w:t>
      </w:r>
      <w:r w:rsidRPr="00675EA6">
        <w:rPr>
          <w:rStyle w:val="FootnoteReference"/>
          <w:rFonts w:asciiTheme="minorHAnsi" w:hAnsiTheme="minorHAnsi" w:cstheme="minorHAnsi"/>
          <w:lang w:bidi="he-IL"/>
        </w:rPr>
        <w:footnoteReference w:id="187"/>
      </w:r>
      <w:r w:rsidRPr="002D7706">
        <w:rPr>
          <w:rFonts w:asciiTheme="minorHAnsi" w:hAnsiTheme="minorHAnsi" w:cstheme="minorHAnsi"/>
          <w:lang w:val="en-US" w:bidi="he-IL"/>
        </w:rPr>
        <w:t xml:space="preserve"> Zaitsev asserts, “It is necessary to note that apophatic theology, although it has a long history in Christian tradition,… in reality arose in Greek philosophy,”</w:t>
      </w:r>
      <w:r w:rsidRPr="00675EA6">
        <w:rPr>
          <w:rStyle w:val="FootnoteReference"/>
          <w:rFonts w:asciiTheme="minorHAnsi" w:hAnsiTheme="minorHAnsi" w:cstheme="minorHAnsi"/>
          <w:lang w:bidi="he-IL"/>
        </w:rPr>
        <w:footnoteReference w:id="188"/>
      </w:r>
      <w:r w:rsidRPr="002D7706">
        <w:rPr>
          <w:rFonts w:asciiTheme="minorHAnsi" w:hAnsiTheme="minorHAnsi" w:cstheme="minorHAnsi"/>
          <w:lang w:val="en-US" w:bidi="he-IL"/>
        </w:rPr>
        <w:t xml:space="preserve"> and, “Apophatic theology traces its roots to the mysticism of Origen and Greek philosophy and receives its classic development in the works of </w:t>
      </w:r>
      <w:r w:rsidRPr="002D7706">
        <w:rPr>
          <w:rFonts w:asciiTheme="minorHAnsi" w:hAnsiTheme="minorHAnsi" w:cstheme="minorHAnsi"/>
          <w:lang w:val="en-US"/>
        </w:rPr>
        <w:t>Pseudo-Dionysius</w:t>
      </w:r>
      <w:r w:rsidRPr="002D7706">
        <w:rPr>
          <w:rFonts w:asciiTheme="minorHAnsi" w:hAnsiTheme="minorHAnsi" w:cstheme="minorHAnsi"/>
          <w:lang w:val="en-US" w:bidi="he-IL"/>
        </w:rPr>
        <w:t>.“</w:t>
      </w:r>
      <w:r w:rsidRPr="00675EA6">
        <w:rPr>
          <w:rStyle w:val="FootnoteReference"/>
          <w:rFonts w:asciiTheme="minorHAnsi" w:hAnsiTheme="minorHAnsi" w:cstheme="minorHAnsi"/>
          <w:lang w:bidi="he-IL"/>
        </w:rPr>
        <w:footnoteReference w:id="189"/>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A striking parallel exists between the concept of “emanations” from the One and the Eastern Orthodox doctrine of God’s “uncreated energies.” The God of </w:t>
      </w:r>
      <w:r w:rsidRPr="002D7706">
        <w:rPr>
          <w:rFonts w:asciiTheme="minorHAnsi" w:hAnsiTheme="minorHAnsi" w:cstheme="minorHAnsi"/>
          <w:lang w:val="en-US"/>
        </w:rPr>
        <w:t>Pseudo-Dionysius</w:t>
      </w:r>
      <w:r w:rsidRPr="002D7706">
        <w:rPr>
          <w:rFonts w:asciiTheme="minorHAnsi" w:hAnsiTheme="minorHAnsi" w:cstheme="minorHAnsi"/>
          <w:lang w:val="en-US" w:bidi="he-IL"/>
        </w:rPr>
        <w:t xml:space="preserve"> has two aspects: “Unities” and “Distinction.” These two aspects correspond to </w:t>
      </w:r>
      <w:r w:rsidRPr="002D7706">
        <w:rPr>
          <w:rFonts w:asciiTheme="minorHAnsi" w:hAnsiTheme="minorHAnsi" w:cstheme="minorHAnsi"/>
          <w:lang w:val="en-US"/>
        </w:rPr>
        <w:t>Plotinus’ system of the “One” and its “emanations.” Lossky describes Pseudo-Dionysius</w:t>
      </w:r>
      <w:r w:rsidRPr="002D7706">
        <w:rPr>
          <w:rFonts w:asciiTheme="minorHAnsi" w:hAnsiTheme="minorHAnsi" w:cstheme="minorHAnsi"/>
          <w:lang w:val="en-US" w:bidi="he-IL"/>
        </w:rPr>
        <w:t>’ teaching: “’Unities’” are ‘secret abidings that do not reveal themselves’ - a super-essential nature in which God abides, as it were, in absolute peace and does not manifest Himself in anything outside. ‘Distinction,’ on the contrary, is the procession of the Divine outward... Its manifestations.”</w:t>
      </w:r>
      <w:r w:rsidRPr="00675EA6">
        <w:rPr>
          <w:rStyle w:val="FootnoteReference"/>
          <w:rFonts w:asciiTheme="minorHAnsi" w:hAnsiTheme="minorHAnsi" w:cstheme="minorHAnsi"/>
          <w:lang w:bidi="he-IL"/>
        </w:rPr>
        <w:footnoteReference w:id="190"/>
      </w:r>
      <w:r w:rsidRPr="002D7706">
        <w:rPr>
          <w:rFonts w:asciiTheme="minorHAnsi" w:hAnsiTheme="minorHAnsi" w:cstheme="minorHAnsi"/>
          <w:lang w:val="en-US" w:bidi="he-IL"/>
        </w:rPr>
        <w:t xml:space="preserve"> Zaitsev proposes that the system of “essence – energies” appeared in the works of Proclus and, through </w:t>
      </w:r>
      <w:r w:rsidRPr="002D7706">
        <w:rPr>
          <w:rFonts w:asciiTheme="minorHAnsi" w:hAnsiTheme="minorHAnsi" w:cstheme="minorHAnsi"/>
          <w:lang w:val="en-US"/>
        </w:rPr>
        <w:t>Dionysius,</w:t>
      </w:r>
      <w:r w:rsidRPr="002D7706">
        <w:rPr>
          <w:rFonts w:asciiTheme="minorHAnsi" w:hAnsiTheme="minorHAnsi" w:cstheme="minorHAnsi"/>
          <w:lang w:val="en-US" w:bidi="he-IL"/>
        </w:rPr>
        <w:t xml:space="preserve"> spread to the Church.</w:t>
      </w:r>
      <w:r w:rsidRPr="00675EA6">
        <w:rPr>
          <w:rStyle w:val="FootnoteReference"/>
          <w:rFonts w:asciiTheme="minorHAnsi" w:hAnsiTheme="minorHAnsi" w:cstheme="minorHAnsi"/>
          <w:lang w:bidi="he-IL"/>
        </w:rPr>
        <w:footnoteReference w:id="191"/>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In addition, the system of “emanations” reminds us of the Orthodox understanding of the “sole rule” of God the Father, according to which the Son is eternally begotten from Him and the Spirit eternally proceeds from Him. Although patristic theology recognizes that the Son and Spirit’s “emanation” from the Father occurs on the level of God’s essence and not His energies, nonetheless, this “movement” of the Son and Spirit out from the Father strongly hints at a Neoplatonic origin of this idea.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One may also draw a parallel between the Neoplatonic concept of the “Nous” and the patristic understanding of God’s nature. According to Maximus the Confessor, Christ is the “source and focus of an ideal world.”</w:t>
      </w:r>
      <w:r w:rsidRPr="00675EA6">
        <w:rPr>
          <w:rStyle w:val="FootnoteReference"/>
          <w:rFonts w:asciiTheme="minorHAnsi" w:hAnsiTheme="minorHAnsi" w:cstheme="minorHAnsi"/>
          <w:lang w:bidi="he-IL"/>
        </w:rPr>
        <w:footnoteReference w:id="192"/>
      </w:r>
      <w:r w:rsidRPr="002D7706">
        <w:rPr>
          <w:rFonts w:asciiTheme="minorHAnsi" w:hAnsiTheme="minorHAnsi" w:cstheme="minorHAnsi"/>
          <w:lang w:val="en-US" w:bidi="he-IL"/>
        </w:rPr>
        <w:t xml:space="preserve"> Zaitsev comments that Clement of Alexandria “thinks of God, in general, as the ‘Nous.’”</w:t>
      </w:r>
      <w:r w:rsidRPr="00675EA6">
        <w:rPr>
          <w:rStyle w:val="FootnoteReference"/>
          <w:rFonts w:asciiTheme="minorHAnsi" w:hAnsiTheme="minorHAnsi" w:cstheme="minorHAnsi"/>
          <w:lang w:bidi="he-IL"/>
        </w:rPr>
        <w:footnoteReference w:id="193"/>
      </w:r>
      <w:r w:rsidRPr="002D7706">
        <w:rPr>
          <w:rFonts w:asciiTheme="minorHAnsi" w:hAnsiTheme="minorHAnsi" w:cstheme="minorHAnsi"/>
          <w:lang w:val="en-US" w:bidi="he-IL"/>
        </w:rPr>
        <w:t xml:space="preserve"> Similarly, Nikon speaks of the “Mind” as an irreplaceable element in the process of a person’s ascent to God: “The human mind is merely the reflection of the Eternal and First Mind, to which it corresponds. In this case, the human mind, as a symbol and reflection of the Eternal Mind, teaches us through contemplation of it to ascend to the First Image, the Eternal Mind.</w:t>
      </w:r>
      <w:r w:rsidRPr="00675EA6">
        <w:rPr>
          <w:rStyle w:val="FootnoteReference"/>
          <w:rFonts w:asciiTheme="minorHAnsi" w:hAnsiTheme="minorHAnsi" w:cstheme="minorHAnsi"/>
          <w:lang w:bidi="he-IL"/>
        </w:rPr>
        <w:footnoteReference w:id="194"/>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Additionally, patristic theology echoes the idea of the penetration of the “World Soul” into the material world. Lossky equates this with the “eternal energies”: “In the created world… exists infinite and eternal energies.”</w:t>
      </w:r>
      <w:r w:rsidRPr="00675EA6">
        <w:rPr>
          <w:rStyle w:val="FootnoteReference"/>
          <w:rFonts w:asciiTheme="minorHAnsi" w:hAnsiTheme="minorHAnsi" w:cstheme="minorHAnsi"/>
          <w:lang w:bidi="he-IL"/>
        </w:rPr>
        <w:footnoteReference w:id="195"/>
      </w:r>
      <w:r w:rsidRPr="002D7706">
        <w:rPr>
          <w:rFonts w:asciiTheme="minorHAnsi" w:hAnsiTheme="minorHAnsi" w:cstheme="minorHAnsi"/>
          <w:lang w:val="en-US" w:bidi="he-IL"/>
        </w:rPr>
        <w:t xml:space="preserve"> Similar to Neoplatonic teaching, the Eastern Orthodox teach that the human soul is one of the elements that unites creation with God: “This harmony and unity appears in the connection between the material world and the human body, between the human body and soul, and between the human soul and God.”</w:t>
      </w:r>
      <w:r w:rsidRPr="00675EA6">
        <w:rPr>
          <w:rStyle w:val="FootnoteReference"/>
          <w:rFonts w:asciiTheme="minorHAnsi" w:hAnsiTheme="minorHAnsi" w:cstheme="minorHAnsi"/>
          <w:lang w:bidi="he-IL"/>
        </w:rPr>
        <w:footnoteReference w:id="196"/>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Maximus the Confessor taught that God “encloses, unites, embraces and providentially connects with an internal connection all things that exist among themselves and with Himself.” This “hidden and unknown presence of the unifying Cause is present in all beings in various ways.”</w:t>
      </w:r>
      <w:r w:rsidRPr="00675EA6">
        <w:rPr>
          <w:rStyle w:val="FootnoteReference"/>
          <w:rFonts w:asciiTheme="minorHAnsi" w:hAnsiTheme="minorHAnsi" w:cstheme="minorHAnsi"/>
          <w:lang w:bidi="he-IL"/>
        </w:rPr>
        <w:footnoteReference w:id="197"/>
      </w:r>
      <w:r w:rsidRPr="002D7706">
        <w:rPr>
          <w:rFonts w:asciiTheme="minorHAnsi" w:hAnsiTheme="minorHAnsi" w:cstheme="minorHAnsi"/>
          <w:lang w:val="en-US" w:bidi="he-IL"/>
        </w:rPr>
        <w:t xml:space="preserve"> In addition, Maximus’ teaching of spiritual (mental) and sensual (physical) aspects of the world reminds one of the Neoplatonic concept of the relationship between the World Soul and the material world: “The world comprehended by the mind is</w:t>
      </w:r>
      <w:r>
        <w:rPr>
          <w:rFonts w:asciiTheme="minorHAnsi" w:hAnsiTheme="minorHAnsi" w:cstheme="minorHAnsi"/>
          <w:lang w:val="en-US" w:bidi="he-IL"/>
        </w:rPr>
        <w:t xml:space="preserve"> found in the perceptible world as the spirit (lit. ‘</w:t>
      </w:r>
      <w:r w:rsidRPr="002D7706">
        <w:rPr>
          <w:rFonts w:asciiTheme="minorHAnsi" w:hAnsiTheme="minorHAnsi" w:cstheme="minorHAnsi"/>
          <w:lang w:val="en-US" w:bidi="he-IL"/>
        </w:rPr>
        <w:t>soul’) is in the body, while the perceptible world is joined with the world comprehended by the mind like the body is joined with the soul.</w:t>
      </w:r>
      <w:r>
        <w:rPr>
          <w:rFonts w:asciiTheme="minorHAnsi" w:hAnsiTheme="minorHAnsi" w:cstheme="minorHAnsi"/>
          <w:lang w:val="en-US" w:bidi="he-IL"/>
        </w:rPr>
        <w:t>”</w:t>
      </w:r>
      <w:r w:rsidRPr="00675EA6">
        <w:rPr>
          <w:rStyle w:val="FootnoteReference"/>
          <w:rFonts w:asciiTheme="minorHAnsi" w:hAnsiTheme="minorHAnsi" w:cstheme="minorHAnsi"/>
          <w:lang w:bidi="he-IL"/>
        </w:rPr>
        <w:footnoteReference w:id="198"/>
      </w:r>
      <w:r w:rsidRPr="002D7706">
        <w:rPr>
          <w:rFonts w:asciiTheme="minorHAnsi" w:hAnsiTheme="minorHAnsi" w:cstheme="minorHAnsi"/>
          <w:lang w:val="en-US" w:bidi="he-IL"/>
        </w:rPr>
        <w:t xml:space="preserve"> </w:t>
      </w:r>
      <w:r w:rsidRPr="002D7706">
        <w:rPr>
          <w:rFonts w:asciiTheme="minorHAnsi" w:hAnsiTheme="minorHAnsi" w:cstheme="minorHAnsi"/>
          <w:lang w:val="en-US"/>
        </w:rPr>
        <w:t xml:space="preserve">Vishnevskaya claims that Maximus went to the extreme of saying that the created world is part of God, and that the </w:t>
      </w:r>
      <w:r w:rsidRPr="002D7706">
        <w:rPr>
          <w:rFonts w:asciiTheme="minorHAnsi" w:hAnsiTheme="minorHAnsi" w:cstheme="minorHAnsi"/>
          <w:i/>
          <w:iCs/>
          <w:lang w:val="en-US"/>
        </w:rPr>
        <w:t>logoi</w:t>
      </w:r>
      <w:r w:rsidRPr="002D7706">
        <w:rPr>
          <w:rFonts w:asciiTheme="minorHAnsi" w:hAnsiTheme="minorHAnsi" w:cstheme="minorHAnsi"/>
          <w:lang w:val="en-US"/>
        </w:rPr>
        <w:t xml:space="preserve"> in the created world subsist in the Logos that existed in God.</w:t>
      </w:r>
      <w:r w:rsidRPr="00675EA6">
        <w:rPr>
          <w:rStyle w:val="FootnoteReference"/>
          <w:rFonts w:asciiTheme="minorHAnsi" w:hAnsiTheme="minorHAnsi" w:cstheme="minorHAnsi"/>
          <w:lang w:bidi="he-IL"/>
        </w:rPr>
        <w:footnoteReference w:id="199"/>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Similarities exist as well in how Neoplatonism and patristic theology describe the “ascent to God.” Both systems require the practice of virtuous living. Peter of Damascus wrote, “</w:t>
      </w:r>
      <w:r w:rsidRPr="002D7706">
        <w:rPr>
          <w:rFonts w:asciiTheme="minorHAnsi" w:hAnsiTheme="minorHAnsi" w:cstheme="minorHAnsi"/>
          <w:lang w:val="en-US"/>
        </w:rPr>
        <w:t>In the end they (i.e., the commandments) make a man god, through the grace of Him who has given the commandments to those who choose to keep them.</w:t>
      </w:r>
      <w:r w:rsidRPr="002D7706">
        <w:rPr>
          <w:rFonts w:asciiTheme="minorHAnsi" w:hAnsiTheme="minorHAnsi" w:cstheme="minorHAnsi"/>
          <w:lang w:val="en-US" w:bidi="he-IL"/>
        </w:rPr>
        <w:t>”</w:t>
      </w:r>
      <w:r w:rsidRPr="00675EA6">
        <w:rPr>
          <w:rStyle w:val="FootnoteReference"/>
          <w:rFonts w:asciiTheme="minorHAnsi" w:hAnsiTheme="minorHAnsi" w:cstheme="minorHAnsi"/>
          <w:lang w:bidi="he-IL"/>
        </w:rPr>
        <w:footnoteReference w:id="200"/>
      </w:r>
      <w:r w:rsidRPr="002D7706">
        <w:rPr>
          <w:rFonts w:asciiTheme="minorHAnsi" w:hAnsiTheme="minorHAnsi" w:cstheme="minorHAnsi"/>
          <w:lang w:val="en-US" w:bidi="he-IL"/>
        </w:rPr>
        <w:t xml:space="preserve"> Likewise, Maximus the Confessor taught, “</w:t>
      </w:r>
      <w:r w:rsidRPr="002D7706">
        <w:rPr>
          <w:rFonts w:asciiTheme="minorHAnsi" w:hAnsiTheme="minorHAnsi" w:cstheme="minorHAnsi"/>
          <w:lang w:val="en-US"/>
        </w:rPr>
        <w:t>Love makes a man god.</w:t>
      </w:r>
      <w:r w:rsidRPr="002D7706">
        <w:rPr>
          <w:rFonts w:asciiTheme="minorHAnsi" w:hAnsiTheme="minorHAnsi" w:cstheme="minorHAnsi"/>
          <w:lang w:val="en-US" w:bidi="he-IL"/>
        </w:rPr>
        <w:t>”</w:t>
      </w:r>
      <w:r w:rsidRPr="00675EA6">
        <w:rPr>
          <w:rStyle w:val="FootnoteReference"/>
          <w:rFonts w:asciiTheme="minorHAnsi" w:hAnsiTheme="minorHAnsi" w:cstheme="minorHAnsi"/>
          <w:lang w:bidi="he-IL"/>
        </w:rPr>
        <w:footnoteReference w:id="201"/>
      </w:r>
      <w:r w:rsidRPr="002D7706">
        <w:rPr>
          <w:rFonts w:asciiTheme="minorHAnsi" w:hAnsiTheme="minorHAnsi" w:cstheme="minorHAnsi"/>
          <w:lang w:val="en-US" w:bidi="he-IL"/>
        </w:rPr>
        <w:t xml:space="preserve"> In both systems, along with virtuous living, one must practice contemplation. Nikon states that through contemplation a person can “ascend to the First Image, the Eternal Mind.”</w:t>
      </w:r>
      <w:r w:rsidRPr="00675EA6">
        <w:rPr>
          <w:rStyle w:val="FootnoteReference"/>
          <w:rFonts w:asciiTheme="minorHAnsi" w:hAnsiTheme="minorHAnsi" w:cstheme="minorHAnsi"/>
          <w:lang w:bidi="he-IL"/>
        </w:rPr>
        <w:footnoteReference w:id="202"/>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After mastering these ethical and meditative practices, the final step in both systems is mystical unification with God (or the One). In Lossky’s words, the worshipper must aim for the goal of “unification with God in His energies, or unification by grace, making us participants in the Divine nature.”</w:t>
      </w:r>
      <w:r w:rsidRPr="00675EA6">
        <w:rPr>
          <w:rStyle w:val="FootnoteReference"/>
          <w:rFonts w:asciiTheme="minorHAnsi" w:hAnsiTheme="minorHAnsi" w:cstheme="minorHAnsi"/>
          <w:lang w:bidi="he-IL"/>
        </w:rPr>
        <w:footnoteReference w:id="203"/>
      </w:r>
      <w:r w:rsidRPr="002D7706">
        <w:rPr>
          <w:rFonts w:asciiTheme="minorHAnsi" w:hAnsiTheme="minorHAnsi" w:cstheme="minorHAnsi"/>
          <w:lang w:val="en-US" w:bidi="he-IL"/>
        </w:rPr>
        <w:t xml:space="preserve"> Maximus the </w:t>
      </w:r>
      <w:r w:rsidRPr="002D7706">
        <w:rPr>
          <w:rFonts w:asciiTheme="minorHAnsi" w:hAnsiTheme="minorHAnsi" w:cstheme="minorHAnsi"/>
          <w:lang w:bidi="he-IL"/>
        </w:rPr>
        <w:t>С</w:t>
      </w:r>
      <w:r w:rsidRPr="002D7706">
        <w:rPr>
          <w:rFonts w:asciiTheme="minorHAnsi" w:hAnsiTheme="minorHAnsi" w:cstheme="minorHAnsi"/>
          <w:lang w:val="en-US" w:bidi="he-IL"/>
        </w:rPr>
        <w:t>onfessor says the same: “He should make man a god through union with Himself.”</w:t>
      </w:r>
      <w:r w:rsidRPr="00675EA6">
        <w:rPr>
          <w:rStyle w:val="FootnoteReference"/>
          <w:rFonts w:asciiTheme="minorHAnsi" w:hAnsiTheme="minorHAnsi" w:cstheme="minorHAnsi"/>
          <w:lang w:bidi="he-IL"/>
        </w:rPr>
        <w:footnoteReference w:id="204"/>
      </w:r>
      <w:r w:rsidRPr="002D7706">
        <w:rPr>
          <w:rFonts w:asciiTheme="minorHAnsi" w:hAnsiTheme="minorHAnsi" w:cstheme="minorHAnsi"/>
          <w:lang w:val="en-US" w:bidi="he-IL"/>
        </w:rPr>
        <w:t xml:space="preserve"> </w:t>
      </w:r>
    </w:p>
    <w:p w:rsidR="00E53BD1"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Maximus’ description of the believer’s ascent to God, as described by Florovsky, precisely matches the one proposed in Neoplatonism.</w:t>
      </w:r>
      <w:r w:rsidRPr="00675EA6">
        <w:rPr>
          <w:rStyle w:val="FootnoteReference"/>
          <w:rFonts w:asciiTheme="minorHAnsi" w:hAnsiTheme="minorHAnsi" w:cstheme="minorHAnsi"/>
          <w:lang w:bidi="he-IL"/>
        </w:rPr>
        <w:footnoteReference w:id="205"/>
      </w:r>
      <w:r w:rsidRPr="002D7706">
        <w:rPr>
          <w:rFonts w:asciiTheme="minorHAnsi" w:hAnsiTheme="minorHAnsi" w:cstheme="minorHAnsi"/>
          <w:lang w:val="en-US" w:bidi="he-IL"/>
        </w:rPr>
        <w:t xml:space="preserve"> The first step is recognizing the Logos in the created world (i.e., the “World Soul”): “The problem with knowledge is to see and recognize in the world its first-created foundations.”</w:t>
      </w:r>
      <w:r w:rsidRPr="00675EA6">
        <w:rPr>
          <w:rStyle w:val="FootnoteReference"/>
          <w:rFonts w:asciiTheme="minorHAnsi" w:hAnsiTheme="minorHAnsi" w:cstheme="minorHAnsi"/>
          <w:lang w:val="en-US" w:bidi="he-IL"/>
        </w:rPr>
        <w:footnoteReference w:id="206"/>
      </w:r>
      <w:r w:rsidRPr="002D7706">
        <w:rPr>
          <w:rFonts w:asciiTheme="minorHAnsi" w:hAnsiTheme="minorHAnsi" w:cstheme="minorHAnsi"/>
          <w:lang w:val="en-US" w:bidi="he-IL"/>
        </w:rPr>
        <w:t xml:space="preserve"> Thus, one begins with a more elementary contemplative task before attempting unification with God. Next, one moves on the the level of the “Mind” and then beyond: “The mind must leave the mental or intellectual world and ascend even higher to the mysterious darkness of Divinity itself,” and, “The mind rises higher than forms and ideas, and communicates with Divine unity and peace.”</w:t>
      </w:r>
      <w:r w:rsidRPr="00675EA6">
        <w:rPr>
          <w:rStyle w:val="FootnoteReference"/>
          <w:rFonts w:asciiTheme="minorHAnsi" w:hAnsiTheme="minorHAnsi" w:cstheme="minorHAnsi"/>
          <w:lang w:val="en-US" w:bidi="he-IL"/>
        </w:rPr>
        <w:footnoteReference w:id="207"/>
      </w:r>
      <w:r w:rsidRPr="002D7706">
        <w:rPr>
          <w:rFonts w:asciiTheme="minorHAnsi" w:hAnsiTheme="minorHAnsi" w:cstheme="minorHAnsi"/>
          <w:lang w:val="en-US" w:bidi="he-IL"/>
        </w:rPr>
        <w:t xml:space="preserve"> Finally, “Only towards the end does the mind which is hardened in pray</w:t>
      </w:r>
      <w:r>
        <w:rPr>
          <w:rFonts w:asciiTheme="minorHAnsi" w:hAnsiTheme="minorHAnsi" w:cstheme="minorHAnsi"/>
          <w:lang w:val="en-US" w:bidi="he-IL"/>
        </w:rPr>
        <w:t>er</w:t>
      </w:r>
      <w:r w:rsidRPr="002D7706">
        <w:rPr>
          <w:rFonts w:asciiTheme="minorHAnsi" w:hAnsiTheme="minorHAnsi" w:cstheme="minorHAnsi"/>
          <w:lang w:val="en-US" w:bidi="he-IL"/>
        </w:rPr>
        <w:t>ful ‘ordeal’ know God.”</w:t>
      </w:r>
      <w:r w:rsidRPr="00675EA6">
        <w:rPr>
          <w:rStyle w:val="FootnoteReference"/>
          <w:rFonts w:asciiTheme="minorHAnsi" w:hAnsiTheme="minorHAnsi" w:cstheme="minorHAnsi"/>
          <w:lang w:val="en-US" w:bidi="he-IL"/>
        </w:rPr>
        <w:footnoteReference w:id="208"/>
      </w:r>
      <w:r w:rsidRPr="002D7706">
        <w:rPr>
          <w:rFonts w:asciiTheme="minorHAnsi" w:hAnsiTheme="minorHAnsi" w:cstheme="minorHAnsi"/>
          <w:lang w:val="en-US" w:bidi="he-IL"/>
        </w:rPr>
        <w:t xml:space="preserve"> </w:t>
      </w:r>
    </w:p>
    <w:p w:rsidR="00E53BD1" w:rsidRPr="002D7706" w:rsidRDefault="00E53BD1" w:rsidP="00E53BD1">
      <w:pPr>
        <w:ind w:firstLine="426"/>
        <w:rPr>
          <w:rFonts w:asciiTheme="minorHAnsi" w:hAnsiTheme="minorHAnsi" w:cstheme="minorHAnsi"/>
          <w:lang w:val="en-US" w:bidi="he-IL"/>
        </w:rPr>
      </w:pPr>
    </w:p>
    <w:p w:rsidR="00E53BD1" w:rsidRPr="002D7706" w:rsidRDefault="00E53BD1" w:rsidP="00E53BD1">
      <w:pPr>
        <w:pStyle w:val="Heading3"/>
        <w:rPr>
          <w:i/>
          <w:lang w:val="en-US" w:bidi="he-IL"/>
        </w:rPr>
      </w:pPr>
      <w:r w:rsidRPr="002D7706">
        <w:rPr>
          <w:lang w:val="en-US" w:bidi="he-IL"/>
        </w:rPr>
        <w:t>D. Conclusion</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We note many obvious and striking similarities between Neoplatonism, patristic theology, and Eastern Orthodoxy in their views on God and unification with Him. They are not merely chance occurrences, but arise from a common source – the city of Alexandria. It is not accidental that, in general, the Alexandrian Fathers developed and promoted this teaching in the Church.</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Eastern Orthodox theologians often object that the similarities between their faith and Neoplatonism do not concern the contents of their teaching, but simply the form of its expression.</w:t>
      </w:r>
      <w:r w:rsidRPr="00675EA6">
        <w:rPr>
          <w:rStyle w:val="FootnoteReference"/>
          <w:rFonts w:asciiTheme="minorHAnsi" w:hAnsiTheme="minorHAnsi" w:cstheme="minorHAnsi"/>
          <w:lang w:bidi="he-IL"/>
        </w:rPr>
        <w:footnoteReference w:id="209"/>
      </w:r>
      <w:r w:rsidRPr="002D7706">
        <w:rPr>
          <w:rFonts w:asciiTheme="minorHAnsi" w:hAnsiTheme="minorHAnsi" w:cstheme="minorHAnsi"/>
          <w:lang w:val="en-US" w:bidi="he-IL"/>
        </w:rPr>
        <w:t xml:space="preserve"> In other words, the Alexandrian Fathers did not borrow a worldview from Neoplatonism, but only structures and terminology in order to express Christian truth in a way more acceptable to their culture.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We admit that differences do exist between these groups. For example, in Neoplatonism there are no distinctions in the One, while patristic teaching acknowledges the Trinity. In addition, in Neoplatonism the emanations are manifestations of the One, while Orthodoxy teaches creation from nothing. Furthermore, Neoplatonists strive for unification with God, while the Fathers maintain the preservation of a person’s individuality. Another distinction is that patristic theology teaches the deification of the human body, which Neoplatonism rejects. Finally, Neoplatonism does not acknowledge Jesus Christ as the Son of God.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Therefore, we concur that the teachings of Neoplatonism and patristic/Eastern Orthodox theology are not identical. Nonetheless, there are enough common characteristics between these systems and sufficient differences from biblical revelation to confidently conclude that, in many ways, patristic/Eastern Orthodox theology is not Christianity expressed in the form of Neoplatonism, but Neoplatonism adapted to Christian teaching. We will list several foundational concepts common between Neop</w:t>
      </w:r>
      <w:r>
        <w:rPr>
          <w:rFonts w:asciiTheme="minorHAnsi" w:hAnsiTheme="minorHAnsi" w:cstheme="minorHAnsi"/>
          <w:lang w:val="en-US" w:bidi="he-IL"/>
        </w:rPr>
        <w:t>latonism and patristic theology</w:t>
      </w:r>
      <w:r w:rsidRPr="002D7706">
        <w:rPr>
          <w:rFonts w:asciiTheme="minorHAnsi" w:hAnsiTheme="minorHAnsi" w:cstheme="minorHAnsi"/>
          <w:lang w:val="en-US" w:bidi="he-IL"/>
        </w:rPr>
        <w:t xml:space="preserve"> which have no biblical support, i.e., they are foreign to true Christianity:</w:t>
      </w:r>
    </w:p>
    <w:p w:rsidR="00E53BD1" w:rsidRPr="002D7706" w:rsidRDefault="00E53BD1" w:rsidP="00E53BD1">
      <w:pPr>
        <w:ind w:firstLine="426"/>
        <w:rPr>
          <w:rFonts w:asciiTheme="minorHAnsi" w:hAnsiTheme="minorHAnsi" w:cstheme="minorHAnsi"/>
          <w:lang w:val="en-US" w:bidi="he-IL"/>
        </w:rPr>
      </w:pP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Apophatic depiction of God’s essence;</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Impassibility and immobility of God’s essence;</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Distinction between God’s essence and His energies;</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xml:space="preserve">- The interpenetration of God’s energies into creation; </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Creation of an ontological “bridge” between God and people;</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Return of all creation to God and its unification with Him;</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Deification of humans and all creation;</w:t>
      </w:r>
    </w:p>
    <w:p w:rsidR="00E53BD1" w:rsidRPr="002D7706" w:rsidRDefault="00E53BD1" w:rsidP="00E53BD1">
      <w:pPr>
        <w:ind w:left="900" w:hanging="180"/>
        <w:rPr>
          <w:rFonts w:asciiTheme="minorHAnsi" w:hAnsiTheme="minorHAnsi" w:cstheme="minorHAnsi"/>
          <w:lang w:val="en-US" w:bidi="he-IL"/>
        </w:rPr>
      </w:pPr>
      <w:r w:rsidRPr="002D7706">
        <w:rPr>
          <w:rFonts w:asciiTheme="minorHAnsi" w:hAnsiTheme="minorHAnsi" w:cstheme="minorHAnsi"/>
          <w:lang w:val="en-US" w:bidi="he-IL"/>
        </w:rPr>
        <w:t>- Salvation through good works and contemplation, leading to unification with God.</w:t>
      </w:r>
    </w:p>
    <w:p w:rsidR="00E53BD1" w:rsidRPr="002D7706" w:rsidRDefault="00E53BD1" w:rsidP="00E53BD1">
      <w:pPr>
        <w:rPr>
          <w:rFonts w:asciiTheme="minorHAnsi" w:hAnsiTheme="minorHAnsi" w:cstheme="minorHAnsi"/>
          <w:lang w:val="en-US" w:bidi="he-IL"/>
        </w:rPr>
      </w:pP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 xml:space="preserve">It is misguided to think that these commonalities are simply random overlaps with Neoplatonism, or that they play an insignificant role in patristic/Eastern Orthodox theology – they form the heart of patristic thought. These points do not align with Christian faith based on Scripture, but align with the philosophical system of Plotinus and his followers, whether pagan or Christian. </w:t>
      </w:r>
    </w:p>
    <w:p w:rsidR="00E53BD1" w:rsidRPr="002D7706" w:rsidRDefault="00E53BD1" w:rsidP="00E53BD1">
      <w:pPr>
        <w:ind w:firstLine="426"/>
        <w:rPr>
          <w:rFonts w:asciiTheme="minorHAnsi" w:hAnsiTheme="minorHAnsi" w:cstheme="minorHAnsi"/>
          <w:lang w:val="en-US" w:bidi="he-IL"/>
        </w:rPr>
      </w:pPr>
      <w:r w:rsidRPr="002D7706">
        <w:rPr>
          <w:rFonts w:asciiTheme="minorHAnsi" w:hAnsiTheme="minorHAnsi" w:cstheme="minorHAnsi"/>
          <w:lang w:val="en-US" w:bidi="he-IL"/>
        </w:rPr>
        <w:t>One must also ask that if the main reason the Eastern Fathers used this method was to communicate Christian truth to their culture, then why should the Church continu</w:t>
      </w:r>
      <w:r>
        <w:rPr>
          <w:rFonts w:asciiTheme="minorHAnsi" w:hAnsiTheme="minorHAnsi" w:cstheme="minorHAnsi"/>
          <w:lang w:val="en-US" w:bidi="he-IL"/>
        </w:rPr>
        <w:t xml:space="preserve">e to employ this system today? </w:t>
      </w:r>
      <w:r w:rsidRPr="002D7706">
        <w:rPr>
          <w:rFonts w:asciiTheme="minorHAnsi" w:hAnsiTheme="minorHAnsi" w:cstheme="minorHAnsi"/>
          <w:lang w:val="en-US" w:bidi="he-IL"/>
        </w:rPr>
        <w:t>These concepts are completely foreign to the modern mind and do not clarify spiritual truths, but</w:t>
      </w:r>
      <w:r>
        <w:rPr>
          <w:rFonts w:asciiTheme="minorHAnsi" w:hAnsiTheme="minorHAnsi" w:cstheme="minorHAnsi"/>
          <w:lang w:val="en-US" w:bidi="he-IL"/>
        </w:rPr>
        <w:t xml:space="preserve"> rather</w:t>
      </w:r>
      <w:r w:rsidRPr="002D7706">
        <w:rPr>
          <w:rFonts w:asciiTheme="minorHAnsi" w:hAnsiTheme="minorHAnsi" w:cstheme="minorHAnsi"/>
          <w:lang w:val="en-US" w:bidi="he-IL"/>
        </w:rPr>
        <w:t xml:space="preserve"> muddle them.  </w:t>
      </w:r>
    </w:p>
    <w:p w:rsidR="00E53BD1" w:rsidRPr="002D7706" w:rsidRDefault="00E53BD1" w:rsidP="00E53BD1">
      <w:pPr>
        <w:ind w:firstLine="426"/>
        <w:rPr>
          <w:rFonts w:asciiTheme="minorHAnsi" w:hAnsiTheme="minorHAnsi" w:cstheme="minorHAnsi"/>
          <w:lang w:val="en-US" w:bidi="he-IL"/>
        </w:rPr>
      </w:pPr>
    </w:p>
    <w:p w:rsidR="00E53BD1" w:rsidRPr="0027038D" w:rsidRDefault="00E53BD1">
      <w:pPr>
        <w:rPr>
          <w:lang w:val="en-US"/>
        </w:rPr>
      </w:pPr>
    </w:p>
    <w:sectPr w:rsidR="00E53BD1" w:rsidRPr="0027038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606F" w:rsidRDefault="0023606F" w:rsidP="0027038D">
      <w:r>
        <w:separator/>
      </w:r>
    </w:p>
  </w:endnote>
  <w:endnote w:type="continuationSeparator" w:id="0">
    <w:p w:rsidR="0023606F" w:rsidRDefault="0023606F" w:rsidP="00270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606F" w:rsidRDefault="0023606F" w:rsidP="0027038D">
      <w:r>
        <w:separator/>
      </w:r>
    </w:p>
  </w:footnote>
  <w:footnote w:type="continuationSeparator" w:id="0">
    <w:p w:rsidR="0023606F" w:rsidRDefault="0023606F" w:rsidP="0027038D">
      <w:r>
        <w:continuationSeparator/>
      </w:r>
    </w:p>
  </w:footnote>
  <w:footnote w:id="1">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Mantzaridis G. I. The Deification of Man: Saint Gregory Palamas and the Orthodox Tradition. – Crestwood, NY: St. Vladimir’s Seminary Press, 1984. – P. 129. </w:t>
      </w:r>
    </w:p>
  </w:footnote>
  <w:footnote w:id="2">
    <w:p w:rsidR="0027038D" w:rsidRPr="004F2665" w:rsidRDefault="0027038D" w:rsidP="0027038D">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rPr>
        <w:t xml:space="preserve">Иларион А. Православие. – </w:t>
      </w:r>
      <w:r w:rsidRPr="004F2665">
        <w:rPr>
          <w:rFonts w:asciiTheme="minorHAnsi" w:hAnsiTheme="minorHAnsi" w:cstheme="minorHAnsi"/>
          <w:lang w:val="en-US"/>
        </w:rPr>
        <w:t>http</w:t>
      </w:r>
      <w:r w:rsidRPr="004F2665">
        <w:rPr>
          <w:rFonts w:asciiTheme="minorHAnsi" w:hAnsiTheme="minorHAnsi" w:cstheme="minorHAnsi"/>
        </w:rPr>
        <w:t>://</w:t>
      </w:r>
      <w:r w:rsidRPr="004F2665">
        <w:rPr>
          <w:rFonts w:asciiTheme="minorHAnsi" w:hAnsiTheme="minorHAnsi" w:cstheme="minorHAnsi"/>
          <w:lang w:val="en-US"/>
        </w:rPr>
        <w:t>www</w:t>
      </w:r>
      <w:r w:rsidRPr="004F2665">
        <w:rPr>
          <w:rFonts w:asciiTheme="minorHAnsi" w:hAnsiTheme="minorHAnsi" w:cstheme="minorHAnsi"/>
        </w:rPr>
        <w:t>.</w:t>
      </w:r>
      <w:r w:rsidRPr="004F2665">
        <w:rPr>
          <w:rFonts w:asciiTheme="minorHAnsi" w:hAnsiTheme="minorHAnsi" w:cstheme="minorHAnsi"/>
          <w:lang w:val="en-US"/>
        </w:rPr>
        <w:t>hilarion</w:t>
      </w:r>
      <w:r w:rsidRPr="004F2665">
        <w:rPr>
          <w:rFonts w:asciiTheme="minorHAnsi" w:hAnsiTheme="minorHAnsi" w:cstheme="minorHAnsi"/>
        </w:rPr>
        <w:t>.</w:t>
      </w:r>
      <w:r w:rsidRPr="004F2665">
        <w:rPr>
          <w:rFonts w:asciiTheme="minorHAnsi" w:hAnsiTheme="minorHAnsi" w:cstheme="minorHAnsi"/>
          <w:lang w:val="en-US"/>
        </w:rPr>
        <w:t>ru</w:t>
      </w:r>
      <w:r w:rsidRPr="004F2665">
        <w:rPr>
          <w:rFonts w:asciiTheme="minorHAnsi" w:hAnsiTheme="minorHAnsi" w:cstheme="minorHAnsi"/>
        </w:rPr>
        <w:t>/</w:t>
      </w:r>
      <w:r w:rsidRPr="004F2665">
        <w:rPr>
          <w:rFonts w:asciiTheme="minorHAnsi" w:hAnsiTheme="minorHAnsi" w:cstheme="minorHAnsi"/>
          <w:lang w:val="en-US"/>
        </w:rPr>
        <w:t>materials</w:t>
      </w:r>
      <w:r w:rsidRPr="004F2665">
        <w:rPr>
          <w:rFonts w:asciiTheme="minorHAnsi" w:hAnsiTheme="minorHAnsi" w:cstheme="minorHAnsi"/>
        </w:rPr>
        <w:t>/</w:t>
      </w:r>
      <w:r w:rsidRPr="004F2665">
        <w:rPr>
          <w:rFonts w:asciiTheme="minorHAnsi" w:hAnsiTheme="minorHAnsi" w:cstheme="minorHAnsi"/>
          <w:lang w:val="en-US"/>
        </w:rPr>
        <w:t>books</w:t>
      </w:r>
      <w:r w:rsidRPr="004F2665">
        <w:rPr>
          <w:rFonts w:asciiTheme="minorHAnsi" w:hAnsiTheme="minorHAnsi" w:cstheme="minorHAnsi"/>
        </w:rPr>
        <w:t xml:space="preserve">. – </w:t>
      </w:r>
      <w:r w:rsidRPr="004F2665">
        <w:rPr>
          <w:rFonts w:asciiTheme="minorHAnsi" w:hAnsiTheme="minorHAnsi" w:cstheme="minorHAnsi"/>
          <w:lang w:val="en-US"/>
        </w:rPr>
        <w:t>Vol</w:t>
      </w:r>
      <w:r w:rsidRPr="004F2665">
        <w:rPr>
          <w:rFonts w:asciiTheme="minorHAnsi" w:hAnsiTheme="minorHAnsi" w:cstheme="minorHAnsi"/>
        </w:rPr>
        <w:t xml:space="preserve">. 1. – </w:t>
      </w:r>
      <w:r w:rsidRPr="004F2665">
        <w:rPr>
          <w:rFonts w:asciiTheme="minorHAnsi" w:hAnsiTheme="minorHAnsi" w:cstheme="minorHAnsi"/>
          <w:lang w:val="en-US"/>
        </w:rPr>
        <w:t>P</w:t>
      </w:r>
      <w:r w:rsidRPr="004F2665">
        <w:rPr>
          <w:rFonts w:asciiTheme="minorHAnsi" w:hAnsiTheme="minorHAnsi" w:cstheme="minorHAnsi"/>
        </w:rPr>
        <w:t xml:space="preserve">. 398. </w:t>
      </w:r>
      <w:r w:rsidRPr="004F2665">
        <w:rPr>
          <w:rFonts w:asciiTheme="minorHAnsi" w:hAnsiTheme="minorHAnsi" w:cstheme="minorHAnsi"/>
          <w:lang w:val="en-US"/>
        </w:rPr>
        <w:t>Author</w:t>
      </w:r>
      <w:r w:rsidRPr="004F2665">
        <w:rPr>
          <w:rFonts w:asciiTheme="minorHAnsi" w:hAnsiTheme="minorHAnsi" w:cstheme="minorHAnsi"/>
        </w:rPr>
        <w:t>’</w:t>
      </w:r>
      <w:r w:rsidRPr="004F2665">
        <w:rPr>
          <w:rFonts w:asciiTheme="minorHAnsi" w:hAnsiTheme="minorHAnsi" w:cstheme="minorHAnsi"/>
          <w:lang w:val="en-US"/>
        </w:rPr>
        <w:t>s</w:t>
      </w:r>
      <w:r w:rsidRPr="004F2665">
        <w:rPr>
          <w:rFonts w:asciiTheme="minorHAnsi" w:hAnsiTheme="minorHAnsi" w:cstheme="minorHAnsi"/>
        </w:rPr>
        <w:t xml:space="preserve"> </w:t>
      </w:r>
      <w:r w:rsidRPr="004F2665">
        <w:rPr>
          <w:rFonts w:asciiTheme="minorHAnsi" w:hAnsiTheme="minorHAnsi" w:cstheme="minorHAnsi"/>
          <w:lang w:val="en-US"/>
        </w:rPr>
        <w:t>translation</w:t>
      </w:r>
      <w:r w:rsidRPr="004F2665">
        <w:rPr>
          <w:rFonts w:asciiTheme="minorHAnsi" w:hAnsiTheme="minorHAnsi" w:cstheme="minorHAnsi"/>
        </w:rPr>
        <w:t>.</w:t>
      </w:r>
    </w:p>
  </w:footnote>
  <w:footnote w:id="3">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rPr>
        <w:t xml:space="preserve">Зайцев Е. Учение В. Лосского о Теозисе. – Москва: Библейско-богсловский институт св. апостола Андрея, 2007. – </w:t>
      </w:r>
      <w:r w:rsidRPr="004F2665">
        <w:rPr>
          <w:rFonts w:asciiTheme="minorHAnsi" w:hAnsiTheme="minorHAnsi" w:cstheme="minorHAnsi"/>
          <w:sz w:val="20"/>
          <w:szCs w:val="20"/>
          <w:lang w:val="en-US"/>
        </w:rPr>
        <w:t>P</w:t>
      </w:r>
      <w:r w:rsidRPr="004F2665">
        <w:rPr>
          <w:rFonts w:asciiTheme="minorHAnsi" w:hAnsiTheme="minorHAnsi" w:cstheme="minorHAnsi"/>
          <w:sz w:val="20"/>
          <w:szCs w:val="20"/>
        </w:rPr>
        <w:t xml:space="preserve">. 14. </w:t>
      </w:r>
      <w:r w:rsidRPr="004F2665">
        <w:rPr>
          <w:rFonts w:asciiTheme="minorHAnsi" w:hAnsiTheme="minorHAnsi" w:cstheme="minorHAnsi"/>
          <w:sz w:val="20"/>
          <w:szCs w:val="20"/>
          <w:lang w:val="en-US"/>
        </w:rPr>
        <w:t xml:space="preserve">Author’s translation.  </w:t>
      </w:r>
    </w:p>
  </w:footnote>
  <w:footnote w:id="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Hallonsten G. </w:t>
      </w:r>
      <w:r w:rsidRPr="004F2665">
        <w:rPr>
          <w:rFonts w:asciiTheme="minorHAnsi" w:hAnsiTheme="minorHAnsi" w:cstheme="minorHAnsi"/>
          <w:i/>
          <w:iCs/>
          <w:lang w:val="en-US"/>
        </w:rPr>
        <w:t xml:space="preserve">Theosis </w:t>
      </w:r>
      <w:r w:rsidRPr="004F2665">
        <w:rPr>
          <w:rFonts w:asciiTheme="minorHAnsi" w:hAnsiTheme="minorHAnsi" w:cstheme="minorHAnsi"/>
          <w:lang w:val="en-US"/>
        </w:rPr>
        <w:t xml:space="preserve">in Recent Research: A Renewal of Interest and a Need for Clarity // Christensen M. J., Wittung J. A. Partakers of the Divine Nature: The History and Development of Deification in the Christian Traditions. – Madison, NJ: Fairleigh Dickson University Press, 2007. – P. 284-285. </w:t>
      </w:r>
    </w:p>
  </w:footnote>
  <w:footnote w:id="5">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Louth A. The Place of </w:t>
      </w:r>
      <w:r w:rsidRPr="004F2665">
        <w:rPr>
          <w:rFonts w:asciiTheme="minorHAnsi" w:hAnsiTheme="minorHAnsi" w:cstheme="minorHAnsi"/>
          <w:i/>
          <w:iCs/>
          <w:sz w:val="20"/>
          <w:szCs w:val="20"/>
          <w:lang w:val="en-US"/>
        </w:rPr>
        <w:t>Theosis</w:t>
      </w:r>
      <w:r w:rsidRPr="004F2665">
        <w:rPr>
          <w:rFonts w:asciiTheme="minorHAnsi" w:hAnsiTheme="minorHAnsi" w:cstheme="minorHAnsi"/>
          <w:sz w:val="20"/>
          <w:szCs w:val="20"/>
          <w:lang w:val="en-US"/>
        </w:rPr>
        <w:t xml:space="preserve"> in Orthodox Theology // Christensen M. J., Wittung J. A. Partakers of the Divine Nature: The History and Development of Deification in the Christian Traditions. – Madison, NJ: Fairleigh Dickson University Press, 2007. – P. 40.  Russian theologian Vladimir Lossky echoes this idea (see </w:t>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В</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Н</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Очерк</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мистического</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богословия</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восточной</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церкви</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и</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Догматическое</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богословие</w:t>
      </w:r>
      <w:r w:rsidRPr="004F2665">
        <w:rPr>
          <w:rFonts w:asciiTheme="minorHAnsi" w:hAnsiTheme="minorHAnsi" w:cstheme="minorHAnsi"/>
          <w:sz w:val="20"/>
          <w:szCs w:val="20"/>
          <w:lang w:val="en-US" w:bidi="he-IL"/>
        </w:rPr>
        <w:t xml:space="preserve">. – </w:t>
      </w:r>
      <w:r w:rsidRPr="004F2665">
        <w:rPr>
          <w:rFonts w:asciiTheme="minorHAnsi" w:hAnsiTheme="minorHAnsi" w:cstheme="minorHAnsi"/>
          <w:sz w:val="20"/>
          <w:szCs w:val="20"/>
          <w:lang w:bidi="he-IL"/>
        </w:rPr>
        <w:t>Москва</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Центр</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СЭИ</w:t>
      </w:r>
      <w:r w:rsidRPr="004F2665">
        <w:rPr>
          <w:rFonts w:asciiTheme="minorHAnsi" w:hAnsiTheme="minorHAnsi" w:cstheme="minorHAnsi"/>
          <w:sz w:val="20"/>
          <w:szCs w:val="20"/>
          <w:lang w:val="en-US" w:bidi="he-IL"/>
        </w:rPr>
        <w:t xml:space="preserve">, 1991.  </w:t>
      </w:r>
      <w:r w:rsidRPr="004F2665">
        <w:rPr>
          <w:rFonts w:asciiTheme="minorHAnsi" w:hAnsiTheme="minorHAnsi" w:cstheme="minorHAnsi"/>
          <w:sz w:val="20"/>
          <w:szCs w:val="20"/>
          <w:lang w:val="en-US"/>
        </w:rPr>
        <w:t xml:space="preserve">– P. </w:t>
      </w:r>
      <w:r w:rsidRPr="004F2665">
        <w:rPr>
          <w:rFonts w:asciiTheme="minorHAnsi" w:hAnsiTheme="minorHAnsi" w:cstheme="minorHAnsi"/>
          <w:sz w:val="20"/>
          <w:szCs w:val="20"/>
          <w:lang w:val="en-US" w:bidi="he-IL"/>
        </w:rPr>
        <w:t>18-19</w:t>
      </w:r>
      <w:r w:rsidRPr="004F2665">
        <w:rPr>
          <w:rFonts w:asciiTheme="minorHAnsi" w:hAnsiTheme="minorHAnsi" w:cstheme="minorHAnsi"/>
          <w:sz w:val="20"/>
          <w:szCs w:val="20"/>
          <w:lang w:val="en-US"/>
        </w:rPr>
        <w:t>).</w:t>
      </w:r>
    </w:p>
  </w:footnote>
  <w:footnote w:id="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Clendenin D. Eastern Orthodox Christianity. – Grand Rapids, MI: Baker, 1994. – P. 130.  Quotation from </w:t>
      </w:r>
      <w:r w:rsidRPr="004F2665">
        <w:rPr>
          <w:rFonts w:asciiTheme="minorHAnsi" w:hAnsiTheme="minorHAnsi" w:cstheme="minorHAnsi"/>
          <w:i/>
          <w:iCs/>
          <w:lang w:val="en-US"/>
        </w:rPr>
        <w:t xml:space="preserve">Various Texts on Theology, </w:t>
      </w:r>
      <w:r w:rsidRPr="004F2665">
        <w:rPr>
          <w:rFonts w:asciiTheme="minorHAnsi" w:hAnsiTheme="minorHAnsi" w:cstheme="minorHAnsi"/>
          <w:lang w:val="en-US"/>
        </w:rPr>
        <w:t xml:space="preserve">4.19, in </w:t>
      </w:r>
      <w:r w:rsidRPr="00D253AA">
        <w:rPr>
          <w:rFonts w:asciiTheme="minorHAnsi" w:hAnsiTheme="minorHAnsi" w:cstheme="minorHAnsi"/>
          <w:i/>
          <w:iCs/>
          <w:lang w:val="en-US"/>
        </w:rPr>
        <w:t>Philokalia</w:t>
      </w:r>
      <w:r w:rsidRPr="004F2665">
        <w:rPr>
          <w:rFonts w:asciiTheme="minorHAnsi" w:hAnsiTheme="minorHAnsi" w:cstheme="minorHAnsi"/>
          <w:lang w:val="en-US"/>
        </w:rPr>
        <w:t xml:space="preserve">, 2:240. </w:t>
      </w:r>
    </w:p>
  </w:footnote>
  <w:footnote w:id="7">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Noted in </w:t>
      </w:r>
      <w:r w:rsidRPr="004F2665">
        <w:rPr>
          <w:rFonts w:asciiTheme="minorHAnsi" w:hAnsiTheme="minorHAnsi" w:cstheme="minorHAnsi"/>
          <w:sz w:val="20"/>
          <w:szCs w:val="20"/>
          <w:lang w:val="en-US" w:bidi="he-IL"/>
        </w:rPr>
        <w:t>Clendenin D. B. Partakers of Divinity: The Orthodox Doctrine of Theosis // Journal of the Evangelical Theological Society. 1994. № 37. P. 373.</w:t>
      </w:r>
      <w:r w:rsidRPr="004F2665">
        <w:rPr>
          <w:rFonts w:asciiTheme="minorHAnsi" w:hAnsiTheme="minorHAnsi" w:cstheme="minorHAnsi"/>
          <w:sz w:val="20"/>
          <w:szCs w:val="20"/>
          <w:lang w:val="en-US"/>
        </w:rPr>
        <w:t xml:space="preserve"> </w:t>
      </w:r>
    </w:p>
  </w:footnote>
  <w:footnote w:id="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 xml:space="preserve">Gross J. The Divination of the Christian </w:t>
      </w:r>
      <w:r>
        <w:rPr>
          <w:rFonts w:asciiTheme="minorHAnsi" w:hAnsiTheme="minorHAnsi" w:cstheme="minorHAnsi"/>
          <w:lang w:val="en-US" w:bidi="he-IL"/>
        </w:rPr>
        <w:t>a</w:t>
      </w:r>
      <w:r w:rsidRPr="004F2665">
        <w:rPr>
          <w:rFonts w:asciiTheme="minorHAnsi" w:hAnsiTheme="minorHAnsi" w:cstheme="minorHAnsi"/>
          <w:lang w:val="en-US" w:bidi="he-IL"/>
        </w:rPr>
        <w:t>ccording to the Greek Fathers / trans. Onica P. A. – Anaheim, CA: A &amp; C Press, 2002. – P. 272.</w:t>
      </w:r>
      <w:r w:rsidRPr="004F2665">
        <w:rPr>
          <w:rFonts w:asciiTheme="minorHAnsi" w:hAnsiTheme="minorHAnsi" w:cstheme="minorHAnsi"/>
          <w:lang w:val="en-US"/>
        </w:rPr>
        <w:t xml:space="preserve"> </w:t>
      </w:r>
    </w:p>
  </w:footnote>
  <w:footnote w:id="9">
    <w:p w:rsidR="0027038D" w:rsidRPr="004F2665" w:rsidRDefault="0027038D" w:rsidP="0027038D">
      <w:pPr>
        <w:rPr>
          <w:rFonts w:asciiTheme="minorHAnsi" w:hAnsiTheme="minorHAnsi" w:cstheme="minorHAnsi"/>
          <w:sz w:val="20"/>
          <w:szCs w:val="20"/>
          <w:lang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Keating D. A. “You Are Gods, Sons of the Most High”: Deification and Diving Filiation in St. Cyril of Alexandria and the Early Fathers. </w:t>
      </w:r>
      <w:r w:rsidRPr="004F2665">
        <w:rPr>
          <w:rFonts w:asciiTheme="minorHAnsi" w:hAnsiTheme="minorHAnsi" w:cstheme="minorHAnsi"/>
          <w:sz w:val="20"/>
          <w:szCs w:val="20"/>
          <w:lang w:val="en-US"/>
        </w:rPr>
        <w:t>–</w:t>
      </w:r>
      <w:r w:rsidRPr="004F2665">
        <w:rPr>
          <w:rFonts w:asciiTheme="minorHAnsi" w:hAnsiTheme="minorHAnsi" w:cstheme="minorHAnsi"/>
          <w:sz w:val="20"/>
          <w:szCs w:val="20"/>
          <w:lang w:val="en-US" w:bidi="he-IL"/>
        </w:rPr>
        <w:t xml:space="preserve"> 2008. Letter</w:t>
      </w:r>
      <w:r w:rsidRPr="004F2665">
        <w:rPr>
          <w:rFonts w:asciiTheme="minorHAnsi" w:hAnsiTheme="minorHAnsi" w:cstheme="minorHAnsi"/>
          <w:sz w:val="20"/>
          <w:szCs w:val="20"/>
          <w:lang w:bidi="he-IL"/>
        </w:rPr>
        <w:t xml:space="preserve"> </w:t>
      </w:r>
      <w:r w:rsidRPr="004F2665">
        <w:rPr>
          <w:rFonts w:asciiTheme="minorHAnsi" w:hAnsiTheme="minorHAnsi" w:cstheme="minorHAnsi"/>
          <w:sz w:val="20"/>
          <w:szCs w:val="20"/>
          <w:lang w:val="en-US" w:bidi="he-IL"/>
        </w:rPr>
        <w:t>and</w:t>
      </w:r>
      <w:r w:rsidRPr="004F2665">
        <w:rPr>
          <w:rFonts w:asciiTheme="minorHAnsi" w:hAnsiTheme="minorHAnsi" w:cstheme="minorHAnsi"/>
          <w:sz w:val="20"/>
          <w:szCs w:val="20"/>
          <w:lang w:bidi="he-IL"/>
        </w:rPr>
        <w:t xml:space="preserve"> </w:t>
      </w:r>
      <w:r w:rsidRPr="004F2665">
        <w:rPr>
          <w:rFonts w:asciiTheme="minorHAnsi" w:hAnsiTheme="minorHAnsi" w:cstheme="minorHAnsi"/>
          <w:sz w:val="20"/>
          <w:szCs w:val="20"/>
          <w:lang w:val="en-US" w:bidi="he-IL"/>
        </w:rPr>
        <w:t>Spirit</w:t>
      </w:r>
      <w:r w:rsidRPr="004F2665">
        <w:rPr>
          <w:rFonts w:asciiTheme="minorHAnsi" w:hAnsiTheme="minorHAnsi" w:cstheme="minorHAnsi"/>
          <w:sz w:val="20"/>
          <w:szCs w:val="20"/>
          <w:lang w:bidi="he-IL"/>
        </w:rPr>
        <w:t xml:space="preserve">. № 4.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243.</w:t>
      </w:r>
      <w:r w:rsidRPr="004F2665">
        <w:rPr>
          <w:rFonts w:asciiTheme="minorHAnsi" w:hAnsiTheme="minorHAnsi" w:cstheme="minorHAnsi"/>
          <w:sz w:val="20"/>
          <w:szCs w:val="20"/>
        </w:rPr>
        <w:t xml:space="preserve"> </w:t>
      </w:r>
    </w:p>
  </w:footnote>
  <w:footnote w:id="1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 xml:space="preserve">Иларион А. Таинство веры. – Москва: Издательство Братства Святителя Тихона, 1996. – </w:t>
      </w:r>
      <w:r w:rsidRPr="004F2665">
        <w:rPr>
          <w:rFonts w:asciiTheme="minorHAnsi" w:hAnsiTheme="minorHAnsi" w:cstheme="minorHAnsi"/>
          <w:lang w:val="en-US"/>
        </w:rPr>
        <w:t>P</w:t>
      </w:r>
      <w:r w:rsidRPr="004F2665">
        <w:rPr>
          <w:rFonts w:asciiTheme="minorHAnsi" w:hAnsiTheme="minorHAnsi" w:cstheme="minorHAnsi"/>
        </w:rPr>
        <w:t xml:space="preserve">. 221. </w:t>
      </w:r>
      <w:r w:rsidRPr="004F2665">
        <w:rPr>
          <w:rFonts w:asciiTheme="minorHAnsi" w:hAnsiTheme="minorHAnsi" w:cstheme="minorHAnsi"/>
          <w:lang w:val="en-US"/>
        </w:rPr>
        <w:t xml:space="preserve">Author’s translation. Also see Clendenin D. Eastern Orthodox Christianity, p. 130. </w:t>
      </w:r>
    </w:p>
  </w:footnote>
  <w:footnote w:id="1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Athanasius, </w:t>
      </w:r>
      <w:r w:rsidRPr="004F2665">
        <w:rPr>
          <w:rFonts w:asciiTheme="minorHAnsi" w:hAnsiTheme="minorHAnsi" w:cstheme="minorHAnsi"/>
          <w:i/>
          <w:iCs/>
          <w:lang w:val="en-US"/>
        </w:rPr>
        <w:t>On the Incarnation</w:t>
      </w:r>
      <w:r w:rsidRPr="004F2665">
        <w:rPr>
          <w:rFonts w:asciiTheme="minorHAnsi" w:hAnsiTheme="minorHAnsi" w:cstheme="minorHAnsi"/>
          <w:lang w:val="en-US"/>
        </w:rPr>
        <w:t xml:space="preserve">, 54. </w:t>
      </w:r>
      <w:r>
        <w:rPr>
          <w:rFonts w:asciiTheme="minorHAnsi" w:hAnsiTheme="minorHAnsi" w:cstheme="minorHAnsi"/>
          <w:lang w:val="en-US"/>
        </w:rPr>
        <w:t xml:space="preserve">The lack of capitalization in the Greek language for the term </w:t>
      </w:r>
      <w:r>
        <w:rPr>
          <w:rFonts w:asciiTheme="minorHAnsi" w:hAnsiTheme="minorHAnsi" w:cstheme="minorHAnsi"/>
          <w:lang w:val="el-GR"/>
        </w:rPr>
        <w:t>θεός</w:t>
      </w:r>
      <w:r>
        <w:rPr>
          <w:rFonts w:asciiTheme="minorHAnsi" w:hAnsiTheme="minorHAnsi" w:cstheme="minorHAnsi"/>
          <w:lang w:val="en-US"/>
        </w:rPr>
        <w:t xml:space="preserve"> (God) in general makes it difficult to translate Athanasius here. Does he mean “God” or “god”?</w:t>
      </w:r>
    </w:p>
  </w:footnote>
  <w:footnote w:id="12">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272.</w:t>
      </w:r>
      <w:r w:rsidRPr="004F2665">
        <w:rPr>
          <w:rFonts w:asciiTheme="minorHAnsi" w:hAnsiTheme="minorHAnsi" w:cstheme="minorHAnsi"/>
          <w:lang w:val="en-US"/>
        </w:rPr>
        <w:t xml:space="preserve"> </w:t>
      </w:r>
    </w:p>
  </w:footnote>
  <w:footnote w:id="13">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Keating, p. 240.</w:t>
      </w:r>
      <w:r w:rsidRPr="004F2665">
        <w:rPr>
          <w:rFonts w:asciiTheme="minorHAnsi" w:hAnsiTheme="minorHAnsi" w:cstheme="minorHAnsi"/>
          <w:sz w:val="20"/>
          <w:szCs w:val="20"/>
          <w:lang w:val="en-US"/>
        </w:rPr>
        <w:t xml:space="preserve"> </w:t>
      </w:r>
    </w:p>
  </w:footnote>
  <w:footnote w:id="1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i/>
          <w:iCs/>
          <w:lang w:val="en-US"/>
        </w:rPr>
        <w:t>An Exact Exposition of the Orthodox Faith</w:t>
      </w:r>
      <w:r>
        <w:rPr>
          <w:rFonts w:asciiTheme="minorHAnsi" w:hAnsiTheme="minorHAnsi" w:cstheme="minorHAnsi"/>
          <w:lang w:val="en-US"/>
        </w:rPr>
        <w:t>, 2.</w:t>
      </w:r>
      <w:r w:rsidRPr="004F2665">
        <w:rPr>
          <w:rFonts w:asciiTheme="minorHAnsi" w:hAnsiTheme="minorHAnsi" w:cstheme="minorHAnsi"/>
          <w:lang w:val="en-US"/>
        </w:rPr>
        <w:t xml:space="preserve">12. </w:t>
      </w:r>
    </w:p>
  </w:footnote>
  <w:footnote w:id="1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4F2665">
        <w:rPr>
          <w:rFonts w:asciiTheme="minorHAnsi" w:hAnsiTheme="minorHAnsi" w:cstheme="minorHAnsi"/>
          <w:lang w:val="en-US"/>
        </w:rPr>
        <w:t xml:space="preserve">, </w:t>
      </w:r>
      <w:r w:rsidRPr="004F2665">
        <w:rPr>
          <w:rFonts w:asciiTheme="minorHAnsi" w:hAnsiTheme="minorHAnsi" w:cstheme="minorHAnsi"/>
        </w:rPr>
        <w:t>Таинство</w:t>
      </w:r>
      <w:r w:rsidRPr="004F2665">
        <w:rPr>
          <w:rFonts w:asciiTheme="minorHAnsi" w:hAnsiTheme="minorHAnsi" w:cstheme="minorHAnsi"/>
          <w:lang w:val="en-US"/>
        </w:rPr>
        <w:t xml:space="preserve"> </w:t>
      </w:r>
      <w:r w:rsidRPr="004F2665">
        <w:rPr>
          <w:rFonts w:asciiTheme="minorHAnsi" w:hAnsiTheme="minorHAnsi" w:cstheme="minorHAnsi"/>
        </w:rPr>
        <w:t>веры</w:t>
      </w:r>
      <w:r w:rsidRPr="004F2665">
        <w:rPr>
          <w:rFonts w:asciiTheme="minorHAnsi" w:hAnsiTheme="minorHAnsi" w:cstheme="minorHAnsi"/>
          <w:lang w:val="en-US"/>
        </w:rPr>
        <w:t>, p. 216. Author’s translation.</w:t>
      </w:r>
    </w:p>
  </w:footnote>
  <w:footnote w:id="1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The Orthodox Study Bible: Ancient Christianity Speaks to Today's World. – Nashville, TN: Thomas Nelson, 2008. – P. 1691-1692. Quotation from </w:t>
      </w:r>
      <w:r w:rsidRPr="004F2665">
        <w:rPr>
          <w:rFonts w:asciiTheme="minorHAnsi" w:hAnsiTheme="minorHAnsi" w:cstheme="minorHAnsi"/>
          <w:lang w:val="en-US" w:bidi="he-IL"/>
        </w:rPr>
        <w:t xml:space="preserve">Bird M. Progressive Reformed Response </w:t>
      </w:r>
      <w:r w:rsidRPr="004F2665">
        <w:rPr>
          <w:rFonts w:asciiTheme="minorHAnsi" w:hAnsiTheme="minorHAnsi" w:cstheme="minorHAnsi"/>
          <w:lang w:val="en-US"/>
        </w:rPr>
        <w:t xml:space="preserve">// Beilby J. K., Eddy P. R., </w:t>
      </w:r>
      <w:r>
        <w:rPr>
          <w:rFonts w:asciiTheme="minorHAnsi" w:hAnsiTheme="minorHAnsi" w:cstheme="minorHAnsi"/>
          <w:lang w:val="en-US"/>
        </w:rPr>
        <w:t>Enderlein</w:t>
      </w:r>
      <w:r w:rsidRPr="004F2665">
        <w:rPr>
          <w:rFonts w:asciiTheme="minorHAnsi" w:hAnsiTheme="minorHAnsi" w:cstheme="minorHAnsi"/>
          <w:lang w:val="en-US"/>
        </w:rPr>
        <w:t xml:space="preserve"> S. E. Justification: Five Views. – Downers Grove, IL: Intervarsity, 2011. – Kindle ed. 2749-2753. </w:t>
      </w:r>
    </w:p>
  </w:footnote>
  <w:footnote w:id="17">
    <w:p w:rsidR="0027038D" w:rsidRPr="004F2665" w:rsidRDefault="0027038D" w:rsidP="0027038D">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bidi="he-IL"/>
        </w:rPr>
        <w:t xml:space="preserve">Зайцев Е. Учение В. Лосского о Теозисе. – Москва: Библейско-богословский институт св. апостола Андрея, 2007. – </w:t>
      </w:r>
      <w:r w:rsidRPr="004F2665">
        <w:rPr>
          <w:rFonts w:asciiTheme="minorHAnsi" w:hAnsiTheme="minorHAnsi" w:cstheme="minorHAnsi"/>
          <w:lang w:val="en-US" w:bidi="he-IL"/>
        </w:rPr>
        <w:t>P</w:t>
      </w:r>
      <w:r w:rsidRPr="004F2665">
        <w:rPr>
          <w:rFonts w:asciiTheme="minorHAnsi" w:hAnsiTheme="minorHAnsi" w:cstheme="minorHAnsi"/>
          <w:lang w:bidi="he-IL"/>
        </w:rPr>
        <w:t>. 177.</w:t>
      </w:r>
      <w:r w:rsidRPr="004F2665">
        <w:rPr>
          <w:rFonts w:asciiTheme="minorHAnsi" w:hAnsiTheme="minorHAnsi" w:cstheme="minorHAnsi"/>
        </w:rPr>
        <w:t xml:space="preserve"> </w:t>
      </w:r>
      <w:r w:rsidRPr="004F2665">
        <w:rPr>
          <w:rFonts w:asciiTheme="minorHAnsi" w:hAnsiTheme="minorHAnsi" w:cstheme="minorHAnsi"/>
          <w:lang w:val="en-US"/>
        </w:rPr>
        <w:t>Author</w:t>
      </w:r>
      <w:r w:rsidRPr="004F2665">
        <w:rPr>
          <w:rFonts w:asciiTheme="minorHAnsi" w:hAnsiTheme="minorHAnsi" w:cstheme="minorHAnsi"/>
        </w:rPr>
        <w:t>’</w:t>
      </w:r>
      <w:r w:rsidRPr="004F2665">
        <w:rPr>
          <w:rFonts w:asciiTheme="minorHAnsi" w:hAnsiTheme="minorHAnsi" w:cstheme="minorHAnsi"/>
          <w:lang w:val="en-US"/>
        </w:rPr>
        <w:t>s</w:t>
      </w:r>
      <w:r w:rsidRPr="004F2665">
        <w:rPr>
          <w:rFonts w:asciiTheme="minorHAnsi" w:hAnsiTheme="minorHAnsi" w:cstheme="minorHAnsi"/>
        </w:rPr>
        <w:t xml:space="preserve"> </w:t>
      </w:r>
      <w:r w:rsidRPr="004F2665">
        <w:rPr>
          <w:rFonts w:asciiTheme="minorHAnsi" w:hAnsiTheme="minorHAnsi" w:cstheme="minorHAnsi"/>
          <w:lang w:val="en-US"/>
        </w:rPr>
        <w:t>translation</w:t>
      </w:r>
      <w:r w:rsidRPr="004F2665">
        <w:rPr>
          <w:rFonts w:asciiTheme="minorHAnsi" w:hAnsiTheme="minorHAnsi" w:cstheme="minorHAnsi"/>
        </w:rPr>
        <w:t>.</w:t>
      </w:r>
    </w:p>
  </w:footnote>
  <w:footnote w:id="18">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 xml:space="preserve">Слово об обожении // под ред. Архимандрата Никона (Иванова) и Протоиерея Николая Лихоманова. – Москва: Сибирская Благозвонница, 2004. –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xml:space="preserve">. 4. </w:t>
      </w:r>
      <w:r w:rsidRPr="004F2665">
        <w:rPr>
          <w:rFonts w:asciiTheme="minorHAnsi" w:hAnsiTheme="minorHAnsi" w:cstheme="minorHAnsi"/>
          <w:sz w:val="20"/>
          <w:szCs w:val="20"/>
          <w:lang w:val="en-US"/>
        </w:rPr>
        <w:t>Author’s translation.</w:t>
      </w:r>
    </w:p>
  </w:footnote>
  <w:footnote w:id="19">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i/>
          <w:iCs/>
          <w:sz w:val="20"/>
          <w:szCs w:val="20"/>
          <w:lang w:val="en-US"/>
        </w:rPr>
        <w:t>Ambiguities</w:t>
      </w:r>
      <w:r w:rsidRPr="004F2665">
        <w:rPr>
          <w:rFonts w:asciiTheme="minorHAnsi" w:hAnsiTheme="minorHAnsi" w:cstheme="minorHAnsi"/>
          <w:sz w:val="20"/>
          <w:szCs w:val="20"/>
          <w:lang w:val="en-US"/>
        </w:rPr>
        <w:t xml:space="preserve">, 41. Quotation from </w:t>
      </w:r>
      <w:r w:rsidRPr="004F2665">
        <w:rPr>
          <w:rFonts w:asciiTheme="minorHAnsi" w:hAnsiTheme="minorHAnsi" w:cstheme="minorHAnsi"/>
          <w:sz w:val="20"/>
          <w:szCs w:val="20"/>
          <w:lang w:val="en-US" w:bidi="he-IL"/>
        </w:rPr>
        <w:t>Pelikan J. The Christian Tradition. Vol</w:t>
      </w:r>
      <w:r>
        <w:rPr>
          <w:rFonts w:asciiTheme="minorHAnsi" w:hAnsiTheme="minorHAnsi" w:cstheme="minorHAnsi"/>
          <w:sz w:val="20"/>
          <w:szCs w:val="20"/>
          <w:lang w:val="en-US" w:bidi="he-IL"/>
        </w:rPr>
        <w:t>.</w:t>
      </w:r>
      <w:r w:rsidRPr="004F2665">
        <w:rPr>
          <w:rFonts w:asciiTheme="minorHAnsi" w:hAnsiTheme="minorHAnsi" w:cstheme="minorHAnsi"/>
          <w:sz w:val="20"/>
          <w:szCs w:val="20"/>
          <w:lang w:val="en-US" w:bidi="he-IL"/>
        </w:rPr>
        <w:t xml:space="preserve"> 2: The Spirit of Eastern Christendom. – Chicago, IL: University of Chicago: 1974. – P. 267.</w:t>
      </w:r>
      <w:r w:rsidRPr="004F2665">
        <w:rPr>
          <w:rFonts w:asciiTheme="minorHAnsi" w:hAnsiTheme="minorHAnsi" w:cstheme="minorHAnsi"/>
          <w:sz w:val="20"/>
          <w:szCs w:val="20"/>
          <w:lang w:val="en-US"/>
        </w:rPr>
        <w:t xml:space="preserve"> </w:t>
      </w:r>
    </w:p>
  </w:footnote>
  <w:footnote w:id="20">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Noted in </w:t>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84.</w:t>
      </w:r>
      <w:r w:rsidRPr="004F2665">
        <w:rPr>
          <w:rFonts w:asciiTheme="minorHAnsi" w:hAnsiTheme="minorHAnsi" w:cstheme="minorHAnsi"/>
          <w:sz w:val="20"/>
          <w:szCs w:val="20"/>
          <w:lang w:val="en-US"/>
        </w:rPr>
        <w:t xml:space="preserve"> Author’s translation.</w:t>
      </w:r>
    </w:p>
  </w:footnote>
  <w:footnote w:id="21">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Ibid, p. 52.</w:t>
      </w:r>
      <w:r w:rsidRPr="004F2665">
        <w:rPr>
          <w:rFonts w:asciiTheme="minorHAnsi" w:hAnsiTheme="minorHAnsi" w:cstheme="minorHAnsi"/>
          <w:sz w:val="20"/>
          <w:szCs w:val="20"/>
          <w:lang w:val="en-US"/>
        </w:rPr>
        <w:t xml:space="preserve"> Author’s translation.</w:t>
      </w:r>
    </w:p>
  </w:footnote>
  <w:footnote w:id="22">
    <w:p w:rsidR="0027038D" w:rsidRPr="00914EA3" w:rsidRDefault="0027038D" w:rsidP="0027038D">
      <w:pPr>
        <w:pStyle w:val="FootnoteText"/>
        <w:jc w:val="both"/>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Слово</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обожении</w:t>
      </w:r>
      <w:r w:rsidRPr="004F2665">
        <w:rPr>
          <w:rFonts w:asciiTheme="minorHAnsi" w:hAnsiTheme="minorHAnsi" w:cstheme="minorHAnsi"/>
          <w:lang w:val="en-US" w:bidi="he-IL"/>
        </w:rPr>
        <w:t>, p. 69</w:t>
      </w:r>
      <w:r w:rsidRPr="004F2665">
        <w:rPr>
          <w:rFonts w:asciiTheme="minorHAnsi" w:hAnsiTheme="minorHAnsi" w:cstheme="minorHAnsi"/>
          <w:lang w:val="en-US"/>
        </w:rPr>
        <w:t>. Author</w:t>
      </w:r>
      <w:r w:rsidRPr="00914EA3">
        <w:rPr>
          <w:rFonts w:asciiTheme="minorHAnsi" w:hAnsiTheme="minorHAnsi" w:cstheme="minorHAnsi"/>
          <w:lang w:val="en-US"/>
        </w:rPr>
        <w:t>’</w:t>
      </w:r>
      <w:r w:rsidRPr="004F2665">
        <w:rPr>
          <w:rFonts w:asciiTheme="minorHAnsi" w:hAnsiTheme="minorHAnsi" w:cstheme="minorHAnsi"/>
          <w:lang w:val="en-US"/>
        </w:rPr>
        <w:t>s</w:t>
      </w:r>
      <w:r w:rsidRPr="00914EA3">
        <w:rPr>
          <w:rFonts w:asciiTheme="minorHAnsi" w:hAnsiTheme="minorHAnsi" w:cstheme="minorHAnsi"/>
          <w:lang w:val="en-US"/>
        </w:rPr>
        <w:t xml:space="preserve"> </w:t>
      </w:r>
      <w:r w:rsidRPr="004F2665">
        <w:rPr>
          <w:rFonts w:asciiTheme="minorHAnsi" w:hAnsiTheme="minorHAnsi" w:cstheme="minorHAnsi"/>
          <w:lang w:val="en-US"/>
        </w:rPr>
        <w:t>translation</w:t>
      </w:r>
      <w:r w:rsidRPr="00914EA3">
        <w:rPr>
          <w:rFonts w:asciiTheme="minorHAnsi" w:hAnsiTheme="minorHAnsi" w:cstheme="minorHAnsi"/>
          <w:lang w:val="en-US"/>
        </w:rPr>
        <w:t>.</w:t>
      </w:r>
    </w:p>
  </w:footnote>
  <w:footnote w:id="23">
    <w:p w:rsidR="0027038D" w:rsidRPr="004F2665" w:rsidRDefault="0027038D" w:rsidP="0027038D">
      <w:pPr>
        <w:pStyle w:val="FootnoteText"/>
        <w:jc w:val="both"/>
        <w:rPr>
          <w:rFonts w:asciiTheme="minorHAnsi" w:hAnsiTheme="minorHAnsi" w:cstheme="minorHAnsi"/>
          <w:lang w:val="en-US"/>
        </w:rPr>
      </w:pPr>
      <w:r w:rsidRPr="004F2665">
        <w:rPr>
          <w:rStyle w:val="FootnoteReference"/>
          <w:rFonts w:asciiTheme="minorHAnsi" w:hAnsiTheme="minorHAnsi" w:cstheme="minorHAnsi"/>
        </w:rPr>
        <w:footnoteRef/>
      </w:r>
      <w:r>
        <w:rPr>
          <w:rFonts w:asciiTheme="minorHAnsi" w:hAnsiTheme="minorHAnsi" w:cstheme="minorHAnsi"/>
          <w:lang w:val="en-US" w:bidi="he-IL"/>
        </w:rPr>
        <w:t>Noted</w:t>
      </w:r>
      <w:r w:rsidRPr="004F2665">
        <w:rPr>
          <w:rFonts w:asciiTheme="minorHAnsi" w:hAnsiTheme="minorHAnsi" w:cstheme="minorHAnsi"/>
          <w:lang w:val="en-US" w:bidi="he-IL"/>
        </w:rPr>
        <w:t xml:space="preserve"> in </w:t>
      </w:r>
      <w:r>
        <w:rPr>
          <w:rFonts w:asciiTheme="minorHAnsi" w:hAnsiTheme="minorHAnsi" w:cstheme="minorHAnsi"/>
          <w:lang w:val="en-US" w:bidi="he-IL"/>
        </w:rPr>
        <w:t>Florovsky, p</w:t>
      </w:r>
      <w:r w:rsidRPr="004F2665">
        <w:rPr>
          <w:rFonts w:asciiTheme="minorHAnsi" w:hAnsiTheme="minorHAnsi" w:cstheme="minorHAnsi"/>
          <w:lang w:val="en-US" w:bidi="he-IL"/>
        </w:rPr>
        <w:t>. 2</w:t>
      </w:r>
      <w:r>
        <w:rPr>
          <w:rFonts w:asciiTheme="minorHAnsi" w:hAnsiTheme="minorHAnsi" w:cstheme="minorHAnsi"/>
          <w:lang w:val="en-US" w:bidi="he-IL"/>
        </w:rPr>
        <w:t xml:space="preserve">24, </w:t>
      </w:r>
      <w:r w:rsidRPr="004F2665">
        <w:rPr>
          <w:rFonts w:asciiTheme="minorHAnsi" w:hAnsiTheme="minorHAnsi" w:cstheme="minorHAnsi"/>
          <w:lang w:val="en-US" w:bidi="he-IL"/>
        </w:rPr>
        <w:t>2</w:t>
      </w:r>
      <w:r>
        <w:rPr>
          <w:rFonts w:asciiTheme="minorHAnsi" w:hAnsiTheme="minorHAnsi" w:cstheme="minorHAnsi"/>
          <w:lang w:val="en-US" w:bidi="he-IL"/>
        </w:rPr>
        <w:t>44-245</w:t>
      </w:r>
      <w:r w:rsidRPr="004F2665">
        <w:rPr>
          <w:rFonts w:asciiTheme="minorHAnsi" w:hAnsiTheme="minorHAnsi" w:cstheme="minorHAnsi"/>
          <w:lang w:val="en-US" w:bidi="he-IL"/>
        </w:rPr>
        <w:t>.</w:t>
      </w:r>
      <w:r w:rsidRPr="004F2665">
        <w:rPr>
          <w:rFonts w:asciiTheme="minorHAnsi" w:hAnsiTheme="minorHAnsi" w:cstheme="minorHAnsi"/>
          <w:lang w:val="en-US"/>
        </w:rPr>
        <w:t xml:space="preserve"> </w:t>
      </w:r>
    </w:p>
  </w:footnote>
  <w:footnote w:id="24">
    <w:p w:rsidR="0027038D" w:rsidRPr="0027038D" w:rsidRDefault="0027038D" w:rsidP="0027038D">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27038D">
        <w:rPr>
          <w:rFonts w:asciiTheme="minorHAnsi" w:hAnsiTheme="minorHAnsi" w:cstheme="minorHAnsi"/>
        </w:rPr>
        <w:t xml:space="preserve">, </w:t>
      </w:r>
      <w:r w:rsidRPr="004F2665">
        <w:rPr>
          <w:rFonts w:asciiTheme="minorHAnsi" w:hAnsiTheme="minorHAnsi" w:cstheme="minorHAnsi"/>
        </w:rPr>
        <w:t>Таинство</w:t>
      </w:r>
      <w:r w:rsidRPr="0027038D">
        <w:rPr>
          <w:rFonts w:asciiTheme="minorHAnsi" w:hAnsiTheme="minorHAnsi" w:cstheme="minorHAnsi"/>
        </w:rPr>
        <w:t xml:space="preserve"> </w:t>
      </w:r>
      <w:r w:rsidRPr="004F2665">
        <w:rPr>
          <w:rFonts w:asciiTheme="minorHAnsi" w:hAnsiTheme="minorHAnsi" w:cstheme="minorHAnsi"/>
        </w:rPr>
        <w:t>веры</w:t>
      </w:r>
      <w:r w:rsidRPr="0027038D">
        <w:rPr>
          <w:rFonts w:asciiTheme="minorHAnsi" w:hAnsiTheme="minorHAnsi" w:cstheme="minorHAnsi"/>
        </w:rPr>
        <w:t xml:space="preserve">, </w:t>
      </w:r>
      <w:r w:rsidRPr="004F2665">
        <w:rPr>
          <w:rFonts w:asciiTheme="minorHAnsi" w:hAnsiTheme="minorHAnsi" w:cstheme="minorHAnsi"/>
          <w:lang w:val="en-US"/>
        </w:rPr>
        <w:t>p</w:t>
      </w:r>
      <w:r w:rsidRPr="0027038D">
        <w:rPr>
          <w:rFonts w:asciiTheme="minorHAnsi" w:hAnsiTheme="minorHAnsi" w:cstheme="minorHAnsi"/>
        </w:rPr>
        <w:t>. 90 (8</w:t>
      </w:r>
      <w:r w:rsidRPr="004F2665">
        <w:rPr>
          <w:rFonts w:asciiTheme="minorHAnsi" w:hAnsiTheme="minorHAnsi" w:cstheme="minorHAnsi"/>
          <w:lang w:val="en-US"/>
        </w:rPr>
        <w:t>th</w:t>
      </w:r>
      <w:r w:rsidRPr="0027038D">
        <w:rPr>
          <w:rFonts w:asciiTheme="minorHAnsi" w:hAnsiTheme="minorHAnsi" w:cstheme="minorHAnsi"/>
        </w:rPr>
        <w:t xml:space="preserve"> </w:t>
      </w:r>
      <w:r w:rsidRPr="004F2665">
        <w:rPr>
          <w:rFonts w:asciiTheme="minorHAnsi" w:hAnsiTheme="minorHAnsi" w:cstheme="minorHAnsi"/>
          <w:lang w:val="en-US"/>
        </w:rPr>
        <w:t>edition</w:t>
      </w:r>
      <w:r w:rsidRPr="0027038D">
        <w:rPr>
          <w:rFonts w:asciiTheme="minorHAnsi" w:hAnsiTheme="minorHAnsi" w:cstheme="minorHAnsi"/>
        </w:rPr>
        <w:t xml:space="preserve">). </w:t>
      </w:r>
    </w:p>
  </w:footnote>
  <w:footnote w:id="2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Athanasius, </w:t>
      </w:r>
      <w:r w:rsidRPr="004F2665">
        <w:rPr>
          <w:rFonts w:asciiTheme="minorHAnsi" w:hAnsiTheme="minorHAnsi" w:cstheme="minorHAnsi"/>
          <w:i/>
          <w:iCs/>
          <w:lang w:val="en-US"/>
        </w:rPr>
        <w:t>On the Incarnation</w:t>
      </w:r>
      <w:r w:rsidRPr="004F2665">
        <w:rPr>
          <w:rFonts w:asciiTheme="minorHAnsi" w:hAnsiTheme="minorHAnsi" w:cstheme="minorHAnsi"/>
          <w:lang w:val="en-US"/>
        </w:rPr>
        <w:t xml:space="preserve">, 54. </w:t>
      </w:r>
    </w:p>
  </w:footnote>
  <w:footnote w:id="2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See Mantzaridis, p. 30 </w:t>
      </w:r>
    </w:p>
  </w:footnote>
  <w:footnote w:id="27">
    <w:p w:rsidR="0027038D" w:rsidRPr="004249FA" w:rsidRDefault="0027038D" w:rsidP="0027038D">
      <w:pPr>
        <w:rPr>
          <w:rFonts w:asciiTheme="minorHAnsi" w:hAnsiTheme="minorHAnsi" w:cstheme="minorHAnsi"/>
          <w:color w:val="FF0000"/>
          <w:sz w:val="20"/>
          <w:szCs w:val="20"/>
          <w:lang w:val="en-US"/>
        </w:rPr>
      </w:pPr>
      <w:r w:rsidRPr="004249FA">
        <w:rPr>
          <w:rStyle w:val="FootnoteReference"/>
          <w:rFonts w:asciiTheme="minorHAnsi" w:hAnsiTheme="minorHAnsi" w:cstheme="minorHAnsi"/>
          <w:szCs w:val="20"/>
        </w:rPr>
        <w:footnoteRef/>
      </w:r>
      <w:r w:rsidRPr="004249FA">
        <w:rPr>
          <w:rFonts w:asciiTheme="minorHAnsi" w:hAnsiTheme="minorHAnsi" w:cstheme="minorHAnsi"/>
          <w:sz w:val="20"/>
          <w:szCs w:val="20"/>
          <w:lang w:val="en-US"/>
        </w:rPr>
        <w:t xml:space="preserve">McGrath A. Christian Theology. – 4th ed. – Oxford: Blackwell, 2007. – P. 351. </w:t>
      </w:r>
    </w:p>
  </w:footnote>
  <w:footnote w:id="2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4F2665">
        <w:rPr>
          <w:rFonts w:asciiTheme="minorHAnsi" w:hAnsiTheme="minorHAnsi" w:cstheme="minorHAnsi"/>
          <w:lang w:val="en-US"/>
        </w:rPr>
        <w:t>, p. 273.</w:t>
      </w:r>
      <w:r w:rsidRPr="004F2665">
        <w:rPr>
          <w:rFonts w:asciiTheme="minorHAnsi" w:hAnsiTheme="minorHAnsi" w:cstheme="minorHAnsi"/>
          <w:b/>
          <w:bCs/>
          <w:lang w:val="en-US"/>
        </w:rPr>
        <w:t xml:space="preserve"> </w:t>
      </w:r>
      <w:r w:rsidRPr="004F2665">
        <w:rPr>
          <w:rFonts w:asciiTheme="minorHAnsi" w:hAnsiTheme="minorHAnsi" w:cstheme="minorHAnsi"/>
          <w:lang w:val="en-US"/>
        </w:rPr>
        <w:t>Author’s translation.</w:t>
      </w:r>
      <w:r>
        <w:rPr>
          <w:rFonts w:asciiTheme="minorHAnsi" w:hAnsiTheme="minorHAnsi" w:cstheme="minorHAnsi"/>
          <w:lang w:val="en-US"/>
        </w:rPr>
        <w:t xml:space="preserve"> </w:t>
      </w:r>
    </w:p>
  </w:footnote>
  <w:footnote w:id="2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Quotation from Florovsky G. The Lamb of God – Scottish Journal of Theology, March 1961. – P. 16; noted in Meyendorff J. Byzantine Theology. – New York: Fordham, 1974. – P. 159-160.</w:t>
      </w:r>
      <w:r w:rsidRPr="004F2665">
        <w:rPr>
          <w:rFonts w:asciiTheme="minorHAnsi" w:hAnsiTheme="minorHAnsi" w:cstheme="minorHAnsi"/>
          <w:color w:val="FF0000"/>
          <w:lang w:val="en-US"/>
        </w:rPr>
        <w:t xml:space="preserve"> </w:t>
      </w:r>
    </w:p>
  </w:footnote>
  <w:footnote w:id="3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 xml:space="preserve">Кураев А. Протестантам о православии. – 7-е изд. – Ростов–на-Дон: Троицкое Слово, 2003. – </w:t>
      </w:r>
      <w:r w:rsidRPr="004F2665">
        <w:rPr>
          <w:rFonts w:asciiTheme="minorHAnsi" w:hAnsiTheme="minorHAnsi" w:cstheme="minorHAnsi"/>
          <w:lang w:val="en-US"/>
        </w:rPr>
        <w:t>P</w:t>
      </w:r>
      <w:r w:rsidRPr="004F2665">
        <w:rPr>
          <w:rFonts w:asciiTheme="minorHAnsi" w:hAnsiTheme="minorHAnsi" w:cstheme="minorHAnsi"/>
        </w:rPr>
        <w:t xml:space="preserve">. 272. </w:t>
      </w:r>
      <w:r w:rsidRPr="004F2665">
        <w:rPr>
          <w:rFonts w:asciiTheme="minorHAnsi" w:hAnsiTheme="minorHAnsi" w:cstheme="minorHAnsi"/>
          <w:lang w:val="en-US"/>
        </w:rPr>
        <w:t>Author’s translation.</w:t>
      </w:r>
    </w:p>
  </w:footnote>
  <w:footnote w:id="31">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p. 178.</w:t>
      </w:r>
      <w:r w:rsidRPr="004F2665">
        <w:rPr>
          <w:rFonts w:asciiTheme="minorHAnsi" w:hAnsiTheme="minorHAnsi" w:cstheme="minorHAnsi"/>
          <w:sz w:val="20"/>
          <w:szCs w:val="20"/>
          <w:lang w:val="en-US"/>
        </w:rPr>
        <w:t xml:space="preserve"> Author’s translation. </w:t>
      </w:r>
    </w:p>
  </w:footnote>
  <w:footnote w:id="32">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10-11.</w:t>
      </w:r>
      <w:r w:rsidRPr="004F2665">
        <w:rPr>
          <w:rFonts w:asciiTheme="minorHAnsi" w:hAnsiTheme="minorHAnsi" w:cstheme="minorHAnsi"/>
          <w:sz w:val="20"/>
          <w:szCs w:val="20"/>
          <w:lang w:val="en-US"/>
        </w:rPr>
        <w:t xml:space="preserve"> Author’s translation.</w:t>
      </w:r>
    </w:p>
  </w:footnote>
  <w:footnote w:id="33">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Слово</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обожении</w:t>
      </w:r>
      <w:r w:rsidRPr="004F2665">
        <w:rPr>
          <w:rFonts w:asciiTheme="minorHAnsi" w:hAnsiTheme="minorHAnsi" w:cstheme="minorHAnsi"/>
          <w:lang w:val="en-US" w:bidi="he-IL"/>
        </w:rPr>
        <w:t xml:space="preserve">, p. 55. </w:t>
      </w:r>
      <w:r w:rsidRPr="004F2665">
        <w:rPr>
          <w:rFonts w:asciiTheme="minorHAnsi" w:hAnsiTheme="minorHAnsi" w:cstheme="minorHAnsi"/>
          <w:lang w:val="en-US"/>
        </w:rPr>
        <w:t xml:space="preserve">Author’s translation. </w:t>
      </w:r>
      <w:r w:rsidRPr="004F2665">
        <w:rPr>
          <w:rFonts w:asciiTheme="minorHAnsi" w:hAnsiTheme="minorHAnsi" w:cstheme="minorHAnsi"/>
          <w:lang w:val="en-US" w:bidi="he-IL"/>
        </w:rPr>
        <w:t xml:space="preserve">Keating </w:t>
      </w:r>
      <w:r>
        <w:rPr>
          <w:rFonts w:asciiTheme="minorHAnsi" w:hAnsiTheme="minorHAnsi" w:cstheme="minorHAnsi"/>
          <w:lang w:val="en-US" w:bidi="he-IL"/>
        </w:rPr>
        <w:t>confirms,</w:t>
      </w:r>
      <w:r w:rsidRPr="004F2665">
        <w:rPr>
          <w:rFonts w:asciiTheme="minorHAnsi" w:hAnsiTheme="minorHAnsi" w:cstheme="minorHAnsi"/>
          <w:lang w:val="en-US" w:bidi="he-IL"/>
        </w:rPr>
        <w:t xml:space="preserve"> “</w:t>
      </w:r>
      <w:r w:rsidRPr="004F2665">
        <w:rPr>
          <w:rFonts w:asciiTheme="minorHAnsi" w:hAnsiTheme="minorHAnsi" w:cstheme="minorHAnsi"/>
          <w:lang w:val="en-US"/>
        </w:rPr>
        <w:t>Athanasius the Great opposed the Arians because, in challenging Christ’s divinity, they also destroyed</w:t>
      </w:r>
      <w:r>
        <w:rPr>
          <w:rFonts w:asciiTheme="minorHAnsi" w:hAnsiTheme="minorHAnsi" w:cstheme="minorHAnsi"/>
          <w:lang w:val="en-US"/>
        </w:rPr>
        <w:t xml:space="preserve"> the basis of man’s deification</w:t>
      </w:r>
      <w:r w:rsidRPr="004F2665">
        <w:rPr>
          <w:rFonts w:asciiTheme="minorHAnsi" w:hAnsiTheme="minorHAnsi" w:cstheme="minorHAnsi"/>
          <w:lang w:val="en-US" w:bidi="he-IL"/>
        </w:rPr>
        <w:t>” (p. 233)</w:t>
      </w:r>
    </w:p>
  </w:footnote>
  <w:footnote w:id="34">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Pr>
          <w:rFonts w:asciiTheme="minorHAnsi" w:hAnsiTheme="minorHAnsi" w:cstheme="minorHAnsi"/>
          <w:sz w:val="20"/>
          <w:szCs w:val="20"/>
          <w:lang w:val="en-US"/>
        </w:rPr>
        <w:t>Mantzaridis, p. 127-128.</w:t>
      </w:r>
    </w:p>
  </w:footnote>
  <w:footnote w:id="35">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827E60">
        <w:rPr>
          <w:rFonts w:asciiTheme="minorHAnsi" w:hAnsiTheme="minorHAnsi" w:cstheme="minorHAnsi"/>
          <w:i/>
          <w:iCs/>
          <w:sz w:val="20"/>
          <w:szCs w:val="20"/>
          <w:lang w:val="en-US" w:bidi="he-IL"/>
        </w:rPr>
        <w:t>Questions to Thalassius on the Scriptures</w:t>
      </w:r>
      <w:r w:rsidRPr="004F2665">
        <w:rPr>
          <w:rFonts w:asciiTheme="minorHAnsi" w:hAnsiTheme="minorHAnsi" w:cstheme="minorHAnsi"/>
          <w:sz w:val="20"/>
          <w:szCs w:val="20"/>
          <w:lang w:val="en-US" w:bidi="he-IL"/>
        </w:rPr>
        <w:t>, 22; from Pelikan, p. 11.</w:t>
      </w:r>
      <w:r w:rsidRPr="004F2665">
        <w:rPr>
          <w:rFonts w:asciiTheme="minorHAnsi" w:hAnsiTheme="minorHAnsi" w:cstheme="minorHAnsi"/>
          <w:sz w:val="20"/>
          <w:szCs w:val="20"/>
          <w:lang w:val="en-US"/>
        </w:rPr>
        <w:t xml:space="preserve"> </w:t>
      </w:r>
    </w:p>
  </w:footnote>
  <w:footnote w:id="36">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148-149.</w:t>
      </w:r>
      <w:r w:rsidRPr="004F2665">
        <w:rPr>
          <w:rFonts w:asciiTheme="minorHAnsi" w:hAnsiTheme="minorHAnsi" w:cstheme="minorHAnsi"/>
          <w:sz w:val="20"/>
          <w:szCs w:val="20"/>
          <w:lang w:val="en-US"/>
        </w:rPr>
        <w:t xml:space="preserve"> Author’s translation.</w:t>
      </w:r>
    </w:p>
  </w:footnote>
  <w:footnote w:id="37">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4F2665">
        <w:rPr>
          <w:rFonts w:asciiTheme="minorHAnsi" w:hAnsiTheme="minorHAnsi" w:cstheme="minorHAnsi"/>
          <w:lang w:val="en-US"/>
        </w:rPr>
        <w:t xml:space="preserve">, </w:t>
      </w:r>
      <w:r w:rsidRPr="004F2665">
        <w:rPr>
          <w:rFonts w:asciiTheme="minorHAnsi" w:hAnsiTheme="minorHAnsi" w:cstheme="minorHAnsi"/>
        </w:rPr>
        <w:t>Таинство</w:t>
      </w:r>
      <w:r w:rsidRPr="004F2665">
        <w:rPr>
          <w:rFonts w:asciiTheme="minorHAnsi" w:hAnsiTheme="minorHAnsi" w:cstheme="minorHAnsi"/>
          <w:lang w:val="en-US"/>
        </w:rPr>
        <w:t xml:space="preserve"> </w:t>
      </w:r>
      <w:r w:rsidRPr="004F2665">
        <w:rPr>
          <w:rFonts w:asciiTheme="minorHAnsi" w:hAnsiTheme="minorHAnsi" w:cstheme="minorHAnsi"/>
        </w:rPr>
        <w:t>веры</w:t>
      </w:r>
      <w:r w:rsidRPr="004F2665">
        <w:rPr>
          <w:rFonts w:asciiTheme="minorHAnsi" w:hAnsiTheme="minorHAnsi" w:cstheme="minorHAnsi"/>
          <w:lang w:val="en-US"/>
        </w:rPr>
        <w:t>, p. 143. Author’s translation.</w:t>
      </w:r>
    </w:p>
  </w:footnote>
  <w:footnote w:id="38">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148.</w:t>
      </w:r>
      <w:r w:rsidRPr="004F2665">
        <w:rPr>
          <w:rFonts w:asciiTheme="minorHAnsi" w:hAnsiTheme="minorHAnsi" w:cstheme="minorHAnsi"/>
          <w:sz w:val="20"/>
          <w:szCs w:val="20"/>
          <w:lang w:val="en-US"/>
        </w:rPr>
        <w:t xml:space="preserve"> Author’s translation.</w:t>
      </w:r>
    </w:p>
  </w:footnote>
  <w:footnote w:id="3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i/>
          <w:iCs/>
          <w:lang w:val="en-US"/>
        </w:rPr>
        <w:t>An Exact Exposition of the Orthodox Faith</w:t>
      </w:r>
      <w:r w:rsidRPr="004F2665">
        <w:rPr>
          <w:rFonts w:asciiTheme="minorHAnsi" w:hAnsiTheme="minorHAnsi" w:cstheme="minorHAnsi"/>
          <w:lang w:val="en-US"/>
        </w:rPr>
        <w:t xml:space="preserve">, 4.13.  </w:t>
      </w:r>
    </w:p>
  </w:footnote>
  <w:footnote w:id="4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Fairbairn D. Partakers of the Divine Nature, 1991. – P. 59. </w:t>
      </w:r>
    </w:p>
  </w:footnote>
  <w:footnote w:id="4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4F2665">
        <w:rPr>
          <w:rFonts w:asciiTheme="minorHAnsi" w:hAnsiTheme="minorHAnsi" w:cstheme="minorHAnsi"/>
          <w:lang w:val="en-US"/>
        </w:rPr>
        <w:t>, p. 129-130. Author’s translation.</w:t>
      </w:r>
    </w:p>
  </w:footnote>
  <w:footnote w:id="42">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Mantzaridis, p. 72. </w:t>
      </w:r>
    </w:p>
  </w:footnote>
  <w:footnote w:id="43">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From </w:t>
      </w:r>
      <w:r w:rsidRPr="004F2665">
        <w:rPr>
          <w:rFonts w:asciiTheme="minorHAnsi" w:hAnsiTheme="minorHAnsi" w:cstheme="minorHAnsi"/>
          <w:i/>
          <w:iCs/>
          <w:lang w:val="en-US"/>
        </w:rPr>
        <w:t>Treasury of Divine Knowledge</w:t>
      </w:r>
      <w:r>
        <w:rPr>
          <w:rFonts w:asciiTheme="minorHAnsi" w:hAnsiTheme="minorHAnsi" w:cstheme="minorHAnsi"/>
          <w:i/>
          <w:iCs/>
          <w:lang w:val="en-US"/>
        </w:rPr>
        <w:t>,</w:t>
      </w:r>
      <w:r w:rsidRPr="004F2665">
        <w:rPr>
          <w:rFonts w:asciiTheme="minorHAnsi" w:hAnsiTheme="minorHAnsi" w:cstheme="minorHAnsi"/>
          <w:lang w:val="en-US"/>
        </w:rPr>
        <w:t xml:space="preserve"> in </w:t>
      </w:r>
      <w:r w:rsidRPr="001C3251">
        <w:rPr>
          <w:rFonts w:asciiTheme="minorHAnsi" w:hAnsiTheme="minorHAnsi" w:cstheme="minorHAnsi"/>
          <w:i/>
          <w:iCs/>
          <w:lang w:val="en-US"/>
        </w:rPr>
        <w:t>Philokalia</w:t>
      </w:r>
      <w:r>
        <w:rPr>
          <w:rFonts w:asciiTheme="minorHAnsi" w:hAnsiTheme="minorHAnsi" w:cstheme="minorHAnsi"/>
          <w:i/>
          <w:iCs/>
          <w:lang w:val="en-US"/>
        </w:rPr>
        <w:t>,</w:t>
      </w:r>
      <w:r w:rsidRPr="004F2665">
        <w:rPr>
          <w:rFonts w:asciiTheme="minorHAnsi" w:hAnsiTheme="minorHAnsi" w:cstheme="minorHAnsi"/>
          <w:lang w:val="en-US"/>
        </w:rPr>
        <w:t xml:space="preserve"> 3:93. </w:t>
      </w:r>
    </w:p>
  </w:footnote>
  <w:footnote w:id="4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From </w:t>
      </w:r>
      <w:r w:rsidRPr="004F2665">
        <w:rPr>
          <w:rFonts w:asciiTheme="minorHAnsi" w:hAnsiTheme="minorHAnsi" w:cstheme="minorHAnsi"/>
          <w:i/>
          <w:iCs/>
          <w:lang w:val="en-US"/>
        </w:rPr>
        <w:t>Various Texts on Theology,</w:t>
      </w:r>
      <w:r w:rsidRPr="004F2665">
        <w:rPr>
          <w:rFonts w:asciiTheme="minorHAnsi" w:hAnsiTheme="minorHAnsi" w:cstheme="minorHAnsi"/>
          <w:lang w:val="en-US"/>
        </w:rPr>
        <w:t xml:space="preserve"> 1:27-32, in </w:t>
      </w:r>
      <w:r w:rsidRPr="001C3251">
        <w:rPr>
          <w:rFonts w:asciiTheme="minorHAnsi" w:hAnsiTheme="minorHAnsi" w:cstheme="minorHAnsi"/>
          <w:i/>
          <w:iCs/>
          <w:lang w:val="en-US"/>
        </w:rPr>
        <w:t>Philokalia</w:t>
      </w:r>
      <w:r>
        <w:rPr>
          <w:rFonts w:asciiTheme="minorHAnsi" w:hAnsiTheme="minorHAnsi" w:cstheme="minorHAnsi"/>
          <w:i/>
          <w:iCs/>
          <w:lang w:val="en-US"/>
        </w:rPr>
        <w:t>,</w:t>
      </w:r>
      <w:r w:rsidRPr="004F2665">
        <w:rPr>
          <w:rFonts w:asciiTheme="minorHAnsi" w:hAnsiTheme="minorHAnsi" w:cstheme="minorHAnsi"/>
          <w:lang w:val="en-US"/>
        </w:rPr>
        <w:t xml:space="preserve"> 2:171. </w:t>
      </w:r>
    </w:p>
  </w:footnote>
  <w:footnote w:id="45">
    <w:p w:rsidR="0027038D" w:rsidRPr="004F2665" w:rsidRDefault="0027038D" w:rsidP="0027038D">
      <w:pPr>
        <w:pStyle w:val="FootnoteText"/>
        <w:rPr>
          <w:rFonts w:asciiTheme="minorHAnsi" w:hAnsiTheme="minorHAnsi" w:cstheme="minorHAnsi"/>
          <w:color w:val="FF0000"/>
          <w:lang w:val="en-US"/>
        </w:rPr>
      </w:pPr>
      <w:r w:rsidRPr="00DE4734">
        <w:rPr>
          <w:rStyle w:val="FootnoteReference"/>
          <w:rFonts w:asciiTheme="minorHAnsi" w:hAnsiTheme="minorHAnsi" w:cstheme="minorHAnsi"/>
        </w:rPr>
        <w:footnoteRef/>
      </w:r>
      <w:r w:rsidRPr="00DE4734">
        <w:rPr>
          <w:rFonts w:asciiTheme="minorHAnsi" w:hAnsiTheme="minorHAnsi" w:cstheme="minorHAnsi"/>
          <w:lang w:val="en-US"/>
        </w:rPr>
        <w:t xml:space="preserve">Taken from </w:t>
      </w:r>
      <w:r w:rsidRPr="00DE4734">
        <w:rPr>
          <w:rFonts w:asciiTheme="minorHAnsi" w:hAnsiTheme="minorHAnsi" w:cstheme="minorHAnsi"/>
          <w:lang w:val="en-US" w:bidi="he-IL"/>
        </w:rPr>
        <w:t>Florovsky, p. 243.</w:t>
      </w:r>
      <w:r w:rsidRPr="004F2665">
        <w:rPr>
          <w:rFonts w:asciiTheme="minorHAnsi" w:hAnsiTheme="minorHAnsi" w:cstheme="minorHAnsi"/>
          <w:color w:val="FF0000"/>
          <w:lang w:val="en-US"/>
        </w:rPr>
        <w:t xml:space="preserve"> </w:t>
      </w:r>
    </w:p>
  </w:footnote>
  <w:footnote w:id="4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Noted in </w:t>
      </w:r>
      <w:r w:rsidRPr="004F2665">
        <w:rPr>
          <w:rFonts w:asciiTheme="minorHAnsi" w:hAnsiTheme="minorHAnsi" w:cstheme="minorHAnsi"/>
        </w:rPr>
        <w:t>Иларион</w:t>
      </w:r>
      <w:r w:rsidRPr="004F2665">
        <w:rPr>
          <w:rFonts w:asciiTheme="minorHAnsi" w:hAnsiTheme="minorHAnsi" w:cstheme="minorHAnsi"/>
          <w:lang w:val="en-US"/>
        </w:rPr>
        <w:t xml:space="preserve">, </w:t>
      </w:r>
      <w:r w:rsidRPr="004F2665">
        <w:rPr>
          <w:rFonts w:asciiTheme="minorHAnsi" w:hAnsiTheme="minorHAnsi" w:cstheme="minorHAnsi"/>
        </w:rPr>
        <w:t>Православие</w:t>
      </w:r>
      <w:r w:rsidRPr="004F2665">
        <w:rPr>
          <w:rFonts w:asciiTheme="minorHAnsi" w:hAnsiTheme="minorHAnsi" w:cstheme="minorHAnsi"/>
          <w:lang w:val="en-US"/>
        </w:rPr>
        <w:t>, vol. 1, p. 401. Author’s translation.</w:t>
      </w:r>
    </w:p>
  </w:footnote>
  <w:footnote w:id="47">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w:t>
      </w:r>
    </w:p>
  </w:footnote>
  <w:footnote w:id="4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Rybarczyk E. J. Beyond Salvation: Eastern Orthodox and Classical Pentecostalism on Becoming Like Christ. – Eugene, OR: Wipf &amp; Stock, 2004. – P. 352.</w:t>
      </w:r>
      <w:r w:rsidRPr="004F2665">
        <w:rPr>
          <w:rFonts w:asciiTheme="minorHAnsi" w:hAnsiTheme="minorHAnsi" w:cstheme="minorHAnsi"/>
          <w:lang w:val="en-US"/>
        </w:rPr>
        <w:t xml:space="preserve"> </w:t>
      </w:r>
    </w:p>
  </w:footnote>
  <w:footnote w:id="4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245.</w:t>
      </w:r>
      <w:r w:rsidRPr="004F2665">
        <w:rPr>
          <w:rFonts w:asciiTheme="minorHAnsi" w:hAnsiTheme="minorHAnsi" w:cstheme="minorHAnsi"/>
          <w:lang w:val="en-US"/>
        </w:rPr>
        <w:t xml:space="preserve"> </w:t>
      </w:r>
    </w:p>
  </w:footnote>
  <w:footnote w:id="50">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Pelikan, p. 13.</w:t>
      </w:r>
      <w:r w:rsidRPr="004F2665">
        <w:rPr>
          <w:rFonts w:asciiTheme="minorHAnsi" w:hAnsiTheme="minorHAnsi" w:cstheme="minorHAnsi"/>
          <w:sz w:val="20"/>
          <w:szCs w:val="20"/>
          <w:lang w:val="en-US"/>
        </w:rPr>
        <w:t xml:space="preserve"> </w:t>
      </w:r>
    </w:p>
  </w:footnote>
  <w:footnote w:id="5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Jakim B. Sergius Bulgakov: Russian </w:t>
      </w:r>
      <w:r w:rsidRPr="004F2665">
        <w:rPr>
          <w:rFonts w:asciiTheme="minorHAnsi" w:hAnsiTheme="minorHAnsi" w:cstheme="minorHAnsi"/>
          <w:i/>
          <w:iCs/>
          <w:lang w:val="en-US"/>
        </w:rPr>
        <w:t>Theosis</w:t>
      </w:r>
      <w:r w:rsidRPr="004F2665">
        <w:rPr>
          <w:rFonts w:asciiTheme="minorHAnsi" w:hAnsiTheme="minorHAnsi" w:cstheme="minorHAnsi"/>
          <w:lang w:val="en-US"/>
        </w:rPr>
        <w:t xml:space="preserve"> // Christensen M. J., Wittung J. A. Partakers of the Divine Nature: The History and Development of Deification in the Christian Traditions. – Madison, NJ: Fairleigh Dickson University Press, 2007. – P. 250-253. </w:t>
      </w:r>
    </w:p>
  </w:footnote>
  <w:footnote w:id="52">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17-18.</w:t>
      </w:r>
      <w:r w:rsidRPr="004F2665">
        <w:rPr>
          <w:rFonts w:asciiTheme="minorHAnsi" w:hAnsiTheme="minorHAnsi" w:cstheme="minorHAnsi"/>
          <w:sz w:val="20"/>
          <w:szCs w:val="20"/>
          <w:lang w:val="en-US"/>
        </w:rPr>
        <w:t xml:space="preserve"> </w:t>
      </w:r>
    </w:p>
  </w:footnote>
  <w:footnote w:id="53">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p. 189. Author’s translation.</w:t>
      </w:r>
    </w:p>
  </w:footnote>
  <w:footnote w:id="54">
    <w:p w:rsidR="0027038D" w:rsidRPr="0066372A" w:rsidRDefault="0027038D" w:rsidP="0027038D">
      <w:pPr>
        <w:pStyle w:val="FootnoteText"/>
        <w:jc w:val="both"/>
        <w:rPr>
          <w:rFonts w:asciiTheme="minorHAnsi" w:hAnsiTheme="minorHAnsi" w:cstheme="minorHAnsi"/>
          <w:lang w:val="en-US"/>
        </w:rPr>
      </w:pPr>
      <w:r w:rsidRPr="004F2665">
        <w:rPr>
          <w:rStyle w:val="FootnoteReference"/>
          <w:rFonts w:asciiTheme="minorHAnsi" w:hAnsiTheme="minorHAnsi" w:cstheme="minorHAnsi"/>
        </w:rPr>
        <w:footnoteRef/>
      </w:r>
      <w:r>
        <w:rPr>
          <w:rFonts w:asciiTheme="minorHAnsi" w:hAnsiTheme="minorHAnsi" w:cstheme="minorHAnsi"/>
          <w:lang w:val="en-US"/>
        </w:rPr>
        <w:t>Meyendorff</w:t>
      </w:r>
      <w:r w:rsidRPr="0066372A">
        <w:rPr>
          <w:rFonts w:asciiTheme="minorHAnsi" w:hAnsiTheme="minorHAnsi" w:cstheme="minorHAnsi"/>
          <w:lang w:val="en-US"/>
        </w:rPr>
        <w:t xml:space="preserve">, </w:t>
      </w:r>
      <w:r>
        <w:rPr>
          <w:rFonts w:asciiTheme="minorHAnsi" w:hAnsiTheme="minorHAnsi" w:cstheme="minorHAnsi"/>
          <w:lang w:val="en-US"/>
        </w:rPr>
        <w:t>Byzantine Theology</w:t>
      </w:r>
      <w:r w:rsidRPr="0066372A">
        <w:rPr>
          <w:rFonts w:asciiTheme="minorHAnsi" w:hAnsiTheme="minorHAnsi" w:cstheme="minorHAnsi"/>
          <w:lang w:val="en-US"/>
        </w:rPr>
        <w:t xml:space="preserve">, </w:t>
      </w:r>
      <w:r>
        <w:rPr>
          <w:rFonts w:asciiTheme="minorHAnsi" w:hAnsiTheme="minorHAnsi" w:cstheme="minorHAnsi"/>
          <w:lang w:val="en-US"/>
        </w:rPr>
        <w:t>p</w:t>
      </w:r>
      <w:r w:rsidRPr="0066372A">
        <w:rPr>
          <w:rFonts w:asciiTheme="minorHAnsi" w:hAnsiTheme="minorHAnsi" w:cstheme="minorHAnsi"/>
          <w:lang w:val="en-US"/>
        </w:rPr>
        <w:t xml:space="preserve">. 71; </w:t>
      </w:r>
      <w:r w:rsidRPr="004F2665">
        <w:rPr>
          <w:rFonts w:asciiTheme="minorHAnsi" w:hAnsiTheme="minorHAnsi" w:cstheme="minorHAnsi"/>
        </w:rPr>
        <w:t>Иларион</w:t>
      </w:r>
      <w:r w:rsidRPr="0066372A">
        <w:rPr>
          <w:rFonts w:asciiTheme="minorHAnsi" w:hAnsiTheme="minorHAnsi" w:cstheme="minorHAnsi"/>
          <w:lang w:val="en-US"/>
        </w:rPr>
        <w:t xml:space="preserve">, </w:t>
      </w:r>
      <w:r w:rsidRPr="004F2665">
        <w:rPr>
          <w:rFonts w:asciiTheme="minorHAnsi" w:hAnsiTheme="minorHAnsi" w:cstheme="minorHAnsi"/>
        </w:rPr>
        <w:t>Таинство</w:t>
      </w:r>
      <w:r w:rsidRPr="0066372A">
        <w:rPr>
          <w:rFonts w:asciiTheme="minorHAnsi" w:hAnsiTheme="minorHAnsi" w:cstheme="minorHAnsi"/>
          <w:lang w:val="en-US"/>
        </w:rPr>
        <w:t xml:space="preserve"> </w:t>
      </w:r>
      <w:r w:rsidRPr="004F2665">
        <w:rPr>
          <w:rFonts w:asciiTheme="minorHAnsi" w:hAnsiTheme="minorHAnsi" w:cstheme="minorHAnsi"/>
        </w:rPr>
        <w:t>веры</w:t>
      </w:r>
      <w:r w:rsidRPr="0066372A">
        <w:rPr>
          <w:rFonts w:asciiTheme="minorHAnsi" w:hAnsiTheme="minorHAnsi" w:cstheme="minorHAnsi"/>
          <w:lang w:val="en-US"/>
        </w:rPr>
        <w:t xml:space="preserve">, </w:t>
      </w:r>
      <w:r w:rsidRPr="004F2665">
        <w:rPr>
          <w:rFonts w:asciiTheme="minorHAnsi" w:hAnsiTheme="minorHAnsi" w:cstheme="minorHAnsi"/>
          <w:lang w:val="en-US"/>
        </w:rPr>
        <w:t>p</w:t>
      </w:r>
      <w:r w:rsidRPr="0066372A">
        <w:rPr>
          <w:rFonts w:asciiTheme="minorHAnsi" w:hAnsiTheme="minorHAnsi" w:cstheme="minorHAnsi"/>
          <w:lang w:val="en-US"/>
        </w:rPr>
        <w:t xml:space="preserve">. 195-199. </w:t>
      </w:r>
    </w:p>
  </w:footnote>
  <w:footnote w:id="55">
    <w:p w:rsidR="0027038D" w:rsidRPr="00914EA3"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914EA3">
        <w:rPr>
          <w:rFonts w:asciiTheme="minorHAnsi" w:hAnsiTheme="minorHAnsi" w:cstheme="minorHAnsi"/>
          <w:lang w:val="en-US"/>
        </w:rPr>
        <w:t xml:space="preserve">, </w:t>
      </w:r>
      <w:r w:rsidRPr="004F2665">
        <w:rPr>
          <w:rFonts w:asciiTheme="minorHAnsi" w:hAnsiTheme="minorHAnsi" w:cstheme="minorHAnsi"/>
        </w:rPr>
        <w:t>Богословие</w:t>
      </w:r>
      <w:r w:rsidRPr="00914EA3">
        <w:rPr>
          <w:rFonts w:asciiTheme="minorHAnsi" w:hAnsiTheme="minorHAnsi" w:cstheme="minorHAnsi"/>
          <w:lang w:val="en-US"/>
        </w:rPr>
        <w:t xml:space="preserve">, </w:t>
      </w:r>
      <w:r w:rsidRPr="004F2665">
        <w:rPr>
          <w:rFonts w:asciiTheme="minorHAnsi" w:hAnsiTheme="minorHAnsi" w:cstheme="minorHAnsi"/>
          <w:lang w:val="en-US"/>
        </w:rPr>
        <w:t>p</w:t>
      </w:r>
      <w:r w:rsidRPr="00914EA3">
        <w:rPr>
          <w:rFonts w:asciiTheme="minorHAnsi" w:hAnsiTheme="minorHAnsi" w:cstheme="minorHAnsi"/>
          <w:lang w:val="en-US"/>
        </w:rPr>
        <w:t xml:space="preserve">. 404.  </w:t>
      </w:r>
    </w:p>
  </w:footnote>
  <w:footnote w:id="56">
    <w:p w:rsidR="0027038D" w:rsidRPr="00914EA3" w:rsidRDefault="0027038D" w:rsidP="0027038D">
      <w:pPr>
        <w:pStyle w:val="FootnoteText"/>
        <w:rPr>
          <w:rFonts w:asciiTheme="minorHAnsi" w:hAnsiTheme="minorHAnsi" w:cstheme="minorHAnsi"/>
          <w:color w:val="FF0000"/>
          <w:lang w:val="en-US"/>
        </w:rPr>
      </w:pPr>
      <w:r w:rsidRPr="0066372A">
        <w:rPr>
          <w:rStyle w:val="FootnoteReference"/>
          <w:rFonts w:asciiTheme="minorHAnsi" w:hAnsiTheme="minorHAnsi" w:cstheme="minorHAnsi"/>
        </w:rPr>
        <w:footnoteRef/>
      </w:r>
      <w:r w:rsidRPr="0066372A">
        <w:rPr>
          <w:rFonts w:asciiTheme="minorHAnsi" w:hAnsiTheme="minorHAnsi" w:cstheme="minorHAnsi"/>
          <w:lang w:val="en-US"/>
        </w:rPr>
        <w:t>Meyendorff, Byzantine Theology, p. 139.</w:t>
      </w:r>
      <w:r w:rsidRPr="00914EA3">
        <w:rPr>
          <w:rFonts w:asciiTheme="minorHAnsi" w:hAnsiTheme="minorHAnsi" w:cstheme="minorHAnsi"/>
          <w:color w:val="FF0000"/>
          <w:lang w:val="en-US"/>
        </w:rPr>
        <w:t xml:space="preserve"> </w:t>
      </w:r>
    </w:p>
  </w:footnote>
  <w:footnote w:id="57">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4F2665">
        <w:rPr>
          <w:rFonts w:asciiTheme="minorHAnsi" w:hAnsiTheme="minorHAnsi" w:cstheme="minorHAnsi"/>
          <w:lang w:val="en-US"/>
        </w:rPr>
        <w:t xml:space="preserve">, </w:t>
      </w:r>
      <w:r w:rsidRPr="004F2665">
        <w:rPr>
          <w:rFonts w:asciiTheme="minorHAnsi" w:hAnsiTheme="minorHAnsi" w:cstheme="minorHAnsi"/>
        </w:rPr>
        <w:t>Таинство</w:t>
      </w:r>
      <w:r w:rsidRPr="004F2665">
        <w:rPr>
          <w:rFonts w:asciiTheme="minorHAnsi" w:hAnsiTheme="minorHAnsi" w:cstheme="minorHAnsi"/>
          <w:lang w:val="en-US"/>
        </w:rPr>
        <w:t xml:space="preserve"> </w:t>
      </w:r>
      <w:r w:rsidRPr="004F2665">
        <w:rPr>
          <w:rFonts w:asciiTheme="minorHAnsi" w:hAnsiTheme="minorHAnsi" w:cstheme="minorHAnsi"/>
        </w:rPr>
        <w:t>веры</w:t>
      </w:r>
      <w:r w:rsidRPr="004F2665">
        <w:rPr>
          <w:rFonts w:asciiTheme="minorHAnsi" w:hAnsiTheme="minorHAnsi" w:cstheme="minorHAnsi"/>
          <w:lang w:val="en-US"/>
        </w:rPr>
        <w:t>, p. 67. Author’s translation.</w:t>
      </w:r>
    </w:p>
  </w:footnote>
  <w:footnote w:id="5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Taken from </w:t>
      </w:r>
      <w:r w:rsidRPr="004F2665">
        <w:rPr>
          <w:rFonts w:asciiTheme="minorHAnsi" w:hAnsiTheme="minorHAnsi" w:cstheme="minorHAnsi"/>
          <w:lang w:val="en-US" w:bidi="he-IL"/>
        </w:rPr>
        <w:t xml:space="preserve">Clendenin, Partakers </w:t>
      </w:r>
      <w:r w:rsidRPr="004F2665">
        <w:rPr>
          <w:rFonts w:asciiTheme="minorHAnsi" w:hAnsiTheme="minorHAnsi" w:cstheme="minorHAnsi"/>
          <w:lang w:bidi="he-IL"/>
        </w:rPr>
        <w:t>о</w:t>
      </w:r>
      <w:r w:rsidRPr="004F2665">
        <w:rPr>
          <w:rFonts w:asciiTheme="minorHAnsi" w:hAnsiTheme="minorHAnsi" w:cstheme="minorHAnsi"/>
          <w:lang w:val="en-US" w:bidi="he-IL"/>
        </w:rPr>
        <w:t>f Divinity, p. 370.</w:t>
      </w:r>
      <w:r w:rsidRPr="004F2665">
        <w:rPr>
          <w:rFonts w:asciiTheme="minorHAnsi" w:hAnsiTheme="minorHAnsi" w:cstheme="minorHAnsi"/>
          <w:lang w:val="en-US"/>
        </w:rPr>
        <w:t xml:space="preserve"> </w:t>
      </w:r>
    </w:p>
  </w:footnote>
  <w:footnote w:id="5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4F2665">
        <w:rPr>
          <w:rFonts w:asciiTheme="minorHAnsi" w:hAnsiTheme="minorHAnsi" w:cstheme="minorHAnsi"/>
          <w:lang w:val="en-US"/>
        </w:rPr>
        <w:t xml:space="preserve">, </w:t>
      </w:r>
      <w:r w:rsidRPr="004F2665">
        <w:rPr>
          <w:rFonts w:asciiTheme="minorHAnsi" w:hAnsiTheme="minorHAnsi" w:cstheme="minorHAnsi"/>
        </w:rPr>
        <w:t>Таинство</w:t>
      </w:r>
      <w:r w:rsidRPr="004F2665">
        <w:rPr>
          <w:rFonts w:asciiTheme="minorHAnsi" w:hAnsiTheme="minorHAnsi" w:cstheme="minorHAnsi"/>
          <w:lang w:val="en-US"/>
        </w:rPr>
        <w:t xml:space="preserve"> </w:t>
      </w:r>
      <w:r w:rsidRPr="004F2665">
        <w:rPr>
          <w:rFonts w:asciiTheme="minorHAnsi" w:hAnsiTheme="minorHAnsi" w:cstheme="minorHAnsi"/>
        </w:rPr>
        <w:t>веры</w:t>
      </w:r>
      <w:r w:rsidRPr="004F2665">
        <w:rPr>
          <w:rFonts w:asciiTheme="minorHAnsi" w:hAnsiTheme="minorHAnsi" w:cstheme="minorHAnsi"/>
          <w:lang w:val="en-US"/>
        </w:rPr>
        <w:t>, p. 221. Author’s translation.</w:t>
      </w:r>
    </w:p>
  </w:footnote>
  <w:footnote w:id="60">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Franks R. S. The Work of Christ. – London: Thomas Nelson and Sons, 1962. – P. 32. </w:t>
      </w:r>
    </w:p>
  </w:footnote>
  <w:footnote w:id="61">
    <w:p w:rsidR="0027038D" w:rsidRPr="004F2665" w:rsidRDefault="0027038D" w:rsidP="0027038D">
      <w:pPr>
        <w:tabs>
          <w:tab w:val="left" w:pos="2235"/>
        </w:tabs>
        <w:rPr>
          <w:rFonts w:asciiTheme="minorHAnsi" w:hAnsiTheme="minorHAnsi" w:cstheme="minorHAnsi"/>
          <w:sz w:val="20"/>
          <w:szCs w:val="20"/>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rPr>
        <w:t xml:space="preserve">Иларион, Православие, </w:t>
      </w:r>
      <w:r>
        <w:rPr>
          <w:rFonts w:asciiTheme="minorHAnsi" w:hAnsiTheme="minorHAnsi" w:cstheme="minorHAnsi"/>
          <w:sz w:val="20"/>
          <w:szCs w:val="20"/>
          <w:lang w:val="en-US"/>
        </w:rPr>
        <w:t>v</w:t>
      </w:r>
      <w:r w:rsidRPr="004F2665">
        <w:rPr>
          <w:rFonts w:asciiTheme="minorHAnsi" w:hAnsiTheme="minorHAnsi" w:cstheme="minorHAnsi"/>
          <w:sz w:val="20"/>
          <w:szCs w:val="20"/>
        </w:rPr>
        <w:t xml:space="preserve">. 2, </w:t>
      </w:r>
      <w:r w:rsidRPr="004F2665">
        <w:rPr>
          <w:rFonts w:asciiTheme="minorHAnsi" w:hAnsiTheme="minorHAnsi" w:cstheme="minorHAnsi"/>
          <w:sz w:val="20"/>
          <w:szCs w:val="20"/>
          <w:lang w:val="en-US"/>
        </w:rPr>
        <w:t>p</w:t>
      </w:r>
      <w:r w:rsidRPr="004F2665">
        <w:rPr>
          <w:rFonts w:asciiTheme="minorHAnsi" w:hAnsiTheme="minorHAnsi" w:cstheme="minorHAnsi"/>
          <w:sz w:val="20"/>
          <w:szCs w:val="20"/>
        </w:rPr>
        <w:t xml:space="preserve"> 398-399. </w:t>
      </w:r>
    </w:p>
  </w:footnote>
  <w:footnote w:id="62">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 xml:space="preserve">Зайцев, </w:t>
      </w:r>
      <w:r w:rsidRPr="004F2665">
        <w:rPr>
          <w:rFonts w:asciiTheme="minorHAnsi" w:hAnsiTheme="minorHAnsi" w:cstheme="minorHAnsi"/>
          <w:lang w:val="en-US" w:bidi="he-IL"/>
        </w:rPr>
        <w:t>p</w:t>
      </w:r>
      <w:r w:rsidRPr="004F2665">
        <w:rPr>
          <w:rFonts w:asciiTheme="minorHAnsi" w:hAnsiTheme="minorHAnsi" w:cstheme="minorHAnsi"/>
          <w:lang w:bidi="he-IL"/>
        </w:rPr>
        <w:t>. 60.</w:t>
      </w:r>
      <w:r w:rsidRPr="004F2665">
        <w:rPr>
          <w:rFonts w:asciiTheme="minorHAnsi" w:hAnsiTheme="minorHAnsi" w:cstheme="minorHAnsi"/>
        </w:rPr>
        <w:t xml:space="preserve"> </w:t>
      </w:r>
      <w:r w:rsidRPr="004F2665">
        <w:rPr>
          <w:rFonts w:asciiTheme="minorHAnsi" w:hAnsiTheme="minorHAnsi" w:cstheme="minorHAnsi"/>
          <w:lang w:val="en-US"/>
        </w:rPr>
        <w:t>Author’s translation.</w:t>
      </w:r>
    </w:p>
  </w:footnote>
  <w:footnote w:id="63">
    <w:p w:rsidR="0027038D" w:rsidRPr="0027038D"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w:t>
      </w:r>
      <w:r w:rsidRPr="0027038D">
        <w:rPr>
          <w:rFonts w:asciiTheme="minorHAnsi" w:hAnsiTheme="minorHAnsi" w:cstheme="minorHAnsi"/>
          <w:lang w:val="en-US" w:bidi="he-IL"/>
        </w:rPr>
        <w:t xml:space="preserve">, </w:t>
      </w:r>
      <w:r w:rsidRPr="004F2665">
        <w:rPr>
          <w:rFonts w:asciiTheme="minorHAnsi" w:hAnsiTheme="minorHAnsi" w:cstheme="minorHAnsi"/>
          <w:lang w:val="en-US" w:bidi="he-IL"/>
        </w:rPr>
        <w:t>p</w:t>
      </w:r>
      <w:r w:rsidRPr="0027038D">
        <w:rPr>
          <w:rFonts w:asciiTheme="minorHAnsi" w:hAnsiTheme="minorHAnsi" w:cstheme="minorHAnsi"/>
          <w:lang w:val="en-US" w:bidi="he-IL"/>
        </w:rPr>
        <w:t>. 163.</w:t>
      </w:r>
      <w:r w:rsidRPr="0027038D">
        <w:rPr>
          <w:rFonts w:asciiTheme="minorHAnsi" w:hAnsiTheme="minorHAnsi" w:cstheme="minorHAnsi"/>
          <w:lang w:val="en-US"/>
        </w:rPr>
        <w:t xml:space="preserve"> </w:t>
      </w:r>
    </w:p>
  </w:footnote>
  <w:footnote w:id="6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Иларион</w:t>
      </w:r>
      <w:r w:rsidRPr="0027038D">
        <w:rPr>
          <w:rFonts w:asciiTheme="minorHAnsi" w:hAnsiTheme="minorHAnsi" w:cstheme="minorHAnsi"/>
          <w:lang w:val="en-US"/>
        </w:rPr>
        <w:t xml:space="preserve">, </w:t>
      </w:r>
      <w:r w:rsidRPr="004F2665">
        <w:rPr>
          <w:rFonts w:asciiTheme="minorHAnsi" w:hAnsiTheme="minorHAnsi" w:cstheme="minorHAnsi"/>
        </w:rPr>
        <w:t>Православие</w:t>
      </w:r>
      <w:r w:rsidRPr="0027038D">
        <w:rPr>
          <w:rFonts w:asciiTheme="minorHAnsi" w:hAnsiTheme="minorHAnsi" w:cstheme="minorHAnsi"/>
          <w:lang w:val="en-US"/>
        </w:rPr>
        <w:t xml:space="preserve">, </w:t>
      </w:r>
      <w:r>
        <w:rPr>
          <w:rFonts w:asciiTheme="minorHAnsi" w:hAnsiTheme="minorHAnsi" w:cstheme="minorHAnsi"/>
          <w:lang w:val="en-US"/>
        </w:rPr>
        <w:t>v</w:t>
      </w:r>
      <w:r w:rsidRPr="0027038D">
        <w:rPr>
          <w:rFonts w:asciiTheme="minorHAnsi" w:hAnsiTheme="minorHAnsi" w:cstheme="minorHAnsi"/>
          <w:lang w:val="en-US"/>
        </w:rPr>
        <w:t xml:space="preserve">. 1, </w:t>
      </w:r>
      <w:r w:rsidRPr="004F2665">
        <w:rPr>
          <w:rFonts w:asciiTheme="minorHAnsi" w:hAnsiTheme="minorHAnsi" w:cstheme="minorHAnsi"/>
          <w:lang w:val="en-US"/>
        </w:rPr>
        <w:t>p</w:t>
      </w:r>
      <w:r w:rsidRPr="0027038D">
        <w:rPr>
          <w:rFonts w:asciiTheme="minorHAnsi" w:hAnsiTheme="minorHAnsi" w:cstheme="minorHAnsi"/>
          <w:lang w:val="en-US"/>
        </w:rPr>
        <w:t xml:space="preserve">. 399. </w:t>
      </w:r>
      <w:r w:rsidRPr="004F2665">
        <w:rPr>
          <w:rFonts w:asciiTheme="minorHAnsi" w:hAnsiTheme="minorHAnsi" w:cstheme="minorHAnsi"/>
          <w:lang w:val="en-US"/>
        </w:rPr>
        <w:t>Author’s translation.</w:t>
      </w:r>
    </w:p>
  </w:footnote>
  <w:footnote w:id="65">
    <w:p w:rsidR="0027038D" w:rsidRPr="004F2665" w:rsidRDefault="0027038D" w:rsidP="0027038D">
      <w:pPr>
        <w:pStyle w:val="FootnoteText"/>
        <w:rPr>
          <w:rFonts w:asciiTheme="minorHAnsi" w:hAnsiTheme="minorHAnsi" w:cstheme="minorHAnsi"/>
          <w:lang w:val="pt-BR"/>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w:t>
      </w:r>
      <w:r w:rsidRPr="004F2665">
        <w:rPr>
          <w:rFonts w:asciiTheme="minorHAnsi" w:hAnsiTheme="minorHAnsi" w:cstheme="minorHAnsi"/>
          <w:lang w:val="pt-BR" w:bidi="he-IL"/>
        </w:rPr>
        <w:t>. 192.</w:t>
      </w:r>
      <w:r w:rsidRPr="004F2665">
        <w:rPr>
          <w:rFonts w:asciiTheme="minorHAnsi" w:hAnsiTheme="minorHAnsi" w:cstheme="minorHAnsi"/>
          <w:lang w:val="pt-BR"/>
        </w:rPr>
        <w:t xml:space="preserve"> </w:t>
      </w:r>
    </w:p>
  </w:footnote>
  <w:footnote w:id="66">
    <w:p w:rsidR="0027038D" w:rsidRPr="004F2665" w:rsidRDefault="0027038D" w:rsidP="0027038D">
      <w:pPr>
        <w:tabs>
          <w:tab w:val="left" w:pos="2235"/>
        </w:tabs>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rPr>
        <w:t>Иларион</w:t>
      </w:r>
      <w:r w:rsidRPr="004F2665">
        <w:rPr>
          <w:rFonts w:asciiTheme="minorHAnsi" w:hAnsiTheme="minorHAnsi" w:cstheme="minorHAnsi"/>
          <w:sz w:val="20"/>
          <w:szCs w:val="20"/>
          <w:lang w:val="en-US"/>
        </w:rPr>
        <w:t xml:space="preserve">, </w:t>
      </w:r>
      <w:r w:rsidRPr="004F2665">
        <w:rPr>
          <w:rFonts w:asciiTheme="minorHAnsi" w:hAnsiTheme="minorHAnsi" w:cstheme="minorHAnsi"/>
          <w:sz w:val="20"/>
          <w:szCs w:val="20"/>
        </w:rPr>
        <w:t>Православие</w:t>
      </w:r>
      <w:r>
        <w:rPr>
          <w:rFonts w:asciiTheme="minorHAnsi" w:hAnsiTheme="minorHAnsi" w:cstheme="minorHAnsi"/>
          <w:sz w:val="20"/>
          <w:szCs w:val="20"/>
          <w:lang w:val="en-US"/>
        </w:rPr>
        <w:t>, v</w:t>
      </w:r>
      <w:r w:rsidRPr="004F2665">
        <w:rPr>
          <w:rFonts w:asciiTheme="minorHAnsi" w:hAnsiTheme="minorHAnsi" w:cstheme="minorHAnsi"/>
          <w:sz w:val="20"/>
          <w:szCs w:val="20"/>
          <w:lang w:val="en-US"/>
        </w:rPr>
        <w:t>. 2, p 398-399. Author’s translation.</w:t>
      </w:r>
    </w:p>
  </w:footnote>
  <w:footnote w:id="67">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Keating, p. 227.</w:t>
      </w:r>
      <w:r w:rsidRPr="004F2665">
        <w:rPr>
          <w:rFonts w:asciiTheme="minorHAnsi" w:hAnsiTheme="minorHAnsi" w:cstheme="minorHAnsi"/>
          <w:sz w:val="20"/>
          <w:szCs w:val="20"/>
          <w:lang w:val="en-US"/>
        </w:rPr>
        <w:t xml:space="preserve"> </w:t>
      </w:r>
    </w:p>
  </w:footnote>
  <w:footnote w:id="6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231.</w:t>
      </w:r>
      <w:r w:rsidRPr="004F2665">
        <w:rPr>
          <w:rFonts w:asciiTheme="minorHAnsi" w:hAnsiTheme="minorHAnsi" w:cstheme="minorHAnsi"/>
          <w:lang w:val="en-US"/>
        </w:rPr>
        <w:t xml:space="preserve"> </w:t>
      </w:r>
    </w:p>
  </w:footnote>
  <w:footnote w:id="6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216.</w:t>
      </w:r>
      <w:r w:rsidRPr="004F2665">
        <w:rPr>
          <w:rFonts w:asciiTheme="minorHAnsi" w:hAnsiTheme="minorHAnsi" w:cstheme="minorHAnsi"/>
          <w:lang w:val="en-US"/>
        </w:rPr>
        <w:t xml:space="preserve"> </w:t>
      </w:r>
    </w:p>
  </w:footnote>
  <w:footnote w:id="7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Зайцев</w:t>
      </w:r>
      <w:r w:rsidRPr="004F2665">
        <w:rPr>
          <w:rFonts w:asciiTheme="minorHAnsi" w:hAnsiTheme="minorHAnsi" w:cstheme="minorHAnsi"/>
          <w:lang w:val="en-US" w:bidi="he-IL"/>
        </w:rPr>
        <w:t>, p. 77.</w:t>
      </w:r>
      <w:r w:rsidRPr="004F2665">
        <w:rPr>
          <w:rFonts w:asciiTheme="minorHAnsi" w:hAnsiTheme="minorHAnsi" w:cstheme="minorHAnsi"/>
          <w:lang w:val="en-US"/>
        </w:rPr>
        <w:t xml:space="preserve"> Author’s translation.</w:t>
      </w:r>
    </w:p>
  </w:footnote>
  <w:footnote w:id="71">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Pelikan, p. 84-86.</w:t>
      </w:r>
      <w:r w:rsidRPr="004F2665">
        <w:rPr>
          <w:rFonts w:asciiTheme="minorHAnsi" w:hAnsiTheme="minorHAnsi" w:cstheme="minorHAnsi"/>
          <w:sz w:val="20"/>
          <w:szCs w:val="20"/>
          <w:lang w:val="en-US"/>
        </w:rPr>
        <w:t xml:space="preserve"> </w:t>
      </w:r>
    </w:p>
  </w:footnote>
  <w:footnote w:id="72">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xml:space="preserve">, p. 86. </w:t>
      </w:r>
      <w:r w:rsidRPr="004F2665">
        <w:rPr>
          <w:rFonts w:asciiTheme="minorHAnsi" w:hAnsiTheme="minorHAnsi" w:cstheme="minorHAnsi"/>
          <w:sz w:val="20"/>
          <w:szCs w:val="20"/>
          <w:lang w:val="en-US"/>
        </w:rPr>
        <w:t>Author’s translation.</w:t>
      </w:r>
    </w:p>
  </w:footnote>
  <w:footnote w:id="73">
    <w:p w:rsidR="0027038D" w:rsidRPr="004F2665" w:rsidRDefault="0027038D" w:rsidP="0027038D">
      <w:pPr>
        <w:rPr>
          <w:rFonts w:asciiTheme="minorHAnsi" w:hAnsiTheme="minorHAnsi" w:cstheme="minorHAnsi"/>
          <w:color w:val="FF0000"/>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From </w:t>
      </w:r>
      <w:r w:rsidRPr="004F2665">
        <w:rPr>
          <w:rFonts w:asciiTheme="minorHAnsi" w:hAnsiTheme="minorHAnsi" w:cstheme="minorHAnsi"/>
          <w:sz w:val="20"/>
          <w:szCs w:val="20"/>
          <w:lang w:val="pt-BR"/>
        </w:rPr>
        <w:t>Meyedorf J. By</w:t>
      </w:r>
      <w:r w:rsidRPr="004F2665">
        <w:rPr>
          <w:rFonts w:asciiTheme="minorHAnsi" w:hAnsiTheme="minorHAnsi" w:cstheme="minorHAnsi"/>
          <w:sz w:val="20"/>
          <w:szCs w:val="20"/>
          <w:lang w:val="pt-BR" w:bidi="he-IL"/>
        </w:rPr>
        <w:t>zantine</w:t>
      </w:r>
      <w:r w:rsidRPr="004F2665">
        <w:rPr>
          <w:rFonts w:asciiTheme="minorHAnsi" w:hAnsiTheme="minorHAnsi" w:cstheme="minorHAnsi"/>
          <w:sz w:val="20"/>
          <w:szCs w:val="20"/>
          <w:lang w:val="pt-BR"/>
        </w:rPr>
        <w:t xml:space="preserve"> Theology: Historical Trends </w:t>
      </w:r>
      <w:r w:rsidRPr="004F2665">
        <w:rPr>
          <w:rFonts w:asciiTheme="minorHAnsi" w:hAnsiTheme="minorHAnsi" w:cstheme="minorHAnsi"/>
          <w:sz w:val="20"/>
          <w:szCs w:val="20"/>
          <w:lang w:val="en-US"/>
        </w:rPr>
        <w:t>and Doctrinal Themes. – New York, Fordham Univer</w:t>
      </w:r>
      <w:r>
        <w:rPr>
          <w:rFonts w:asciiTheme="minorHAnsi" w:hAnsiTheme="minorHAnsi" w:cstheme="minorHAnsi"/>
          <w:sz w:val="20"/>
          <w:szCs w:val="20"/>
          <w:lang w:val="en-US"/>
        </w:rPr>
        <w:t>s</w:t>
      </w:r>
      <w:r w:rsidRPr="004F2665">
        <w:rPr>
          <w:rFonts w:asciiTheme="minorHAnsi" w:hAnsiTheme="minorHAnsi" w:cstheme="minorHAnsi"/>
          <w:sz w:val="20"/>
          <w:szCs w:val="20"/>
          <w:lang w:val="en-US"/>
        </w:rPr>
        <w:t>ity, 1974. – P. 37.</w:t>
      </w:r>
      <w:r w:rsidRPr="004F2665">
        <w:rPr>
          <w:rFonts w:asciiTheme="minorHAnsi" w:hAnsiTheme="minorHAnsi" w:cstheme="minorHAnsi"/>
          <w:color w:val="FF0000"/>
          <w:sz w:val="20"/>
          <w:szCs w:val="20"/>
          <w:lang w:val="en-US"/>
        </w:rPr>
        <w:t xml:space="preserve"> </w:t>
      </w:r>
    </w:p>
  </w:footnote>
  <w:footnote w:id="74">
    <w:p w:rsidR="0027038D" w:rsidRPr="00914EA3" w:rsidRDefault="0027038D" w:rsidP="0027038D">
      <w:pPr>
        <w:pStyle w:val="FootnoteText"/>
        <w:rPr>
          <w:rFonts w:asciiTheme="minorHAnsi" w:hAnsiTheme="minorHAnsi" w:cstheme="minorHAnsi"/>
          <w:lang w:val="en-US"/>
        </w:rPr>
      </w:pPr>
      <w:r w:rsidRPr="00584CAB">
        <w:rPr>
          <w:rStyle w:val="FootnoteReference"/>
          <w:rFonts w:asciiTheme="minorHAnsi" w:hAnsiTheme="minorHAnsi" w:cstheme="minorHAnsi"/>
        </w:rPr>
        <w:footnoteRef/>
      </w:r>
      <w:r w:rsidRPr="00584CAB">
        <w:rPr>
          <w:rFonts w:asciiTheme="minorHAnsi" w:hAnsiTheme="minorHAnsi" w:cstheme="minorHAnsi"/>
          <w:lang w:val="en-US" w:bidi="he-IL"/>
        </w:rPr>
        <w:t>Florovsky</w:t>
      </w:r>
      <w:r w:rsidRPr="00914EA3">
        <w:rPr>
          <w:rFonts w:asciiTheme="minorHAnsi" w:hAnsiTheme="minorHAnsi" w:cstheme="minorHAnsi"/>
          <w:lang w:val="en-US"/>
        </w:rPr>
        <w:t xml:space="preserve">, </w:t>
      </w:r>
      <w:r w:rsidRPr="00584CAB">
        <w:rPr>
          <w:rFonts w:asciiTheme="minorHAnsi" w:hAnsiTheme="minorHAnsi" w:cstheme="minorHAnsi"/>
          <w:lang w:val="en-US"/>
        </w:rPr>
        <w:t>p</w:t>
      </w:r>
      <w:r w:rsidRPr="00914EA3">
        <w:rPr>
          <w:rFonts w:asciiTheme="minorHAnsi" w:hAnsiTheme="minorHAnsi" w:cstheme="minorHAnsi"/>
          <w:lang w:val="en-US"/>
        </w:rPr>
        <w:t>. 2</w:t>
      </w:r>
      <w:r w:rsidRPr="00584CAB">
        <w:rPr>
          <w:rFonts w:asciiTheme="minorHAnsi" w:hAnsiTheme="minorHAnsi" w:cstheme="minorHAnsi"/>
          <w:lang w:val="en-US"/>
        </w:rPr>
        <w:t>27</w:t>
      </w:r>
      <w:r w:rsidRPr="00914EA3">
        <w:rPr>
          <w:rFonts w:asciiTheme="minorHAnsi" w:hAnsiTheme="minorHAnsi" w:cstheme="minorHAnsi"/>
          <w:lang w:val="en-US"/>
        </w:rPr>
        <w:t>.</w:t>
      </w:r>
    </w:p>
  </w:footnote>
  <w:footnote w:id="75">
    <w:p w:rsidR="0027038D" w:rsidRPr="00914EA3"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Зайцев</w:t>
      </w:r>
      <w:r w:rsidRPr="00914EA3">
        <w:rPr>
          <w:rFonts w:asciiTheme="minorHAnsi" w:hAnsiTheme="minorHAnsi" w:cstheme="minorHAnsi"/>
          <w:lang w:val="en-US" w:bidi="he-IL"/>
        </w:rPr>
        <w:t xml:space="preserve">, </w:t>
      </w:r>
      <w:r w:rsidRPr="004F2665">
        <w:rPr>
          <w:rFonts w:asciiTheme="minorHAnsi" w:hAnsiTheme="minorHAnsi" w:cstheme="minorHAnsi"/>
          <w:lang w:val="en-US" w:bidi="he-IL"/>
        </w:rPr>
        <w:t>p</w:t>
      </w:r>
      <w:r w:rsidRPr="00914EA3">
        <w:rPr>
          <w:rFonts w:asciiTheme="minorHAnsi" w:hAnsiTheme="minorHAnsi" w:cstheme="minorHAnsi"/>
          <w:lang w:val="en-US" w:bidi="he-IL"/>
        </w:rPr>
        <w:t>. 84.</w:t>
      </w:r>
      <w:r w:rsidRPr="00914EA3">
        <w:rPr>
          <w:rFonts w:asciiTheme="minorHAnsi" w:hAnsiTheme="minorHAnsi" w:cstheme="minorHAnsi"/>
          <w:lang w:val="en-US"/>
        </w:rPr>
        <w:t xml:space="preserve"> </w:t>
      </w:r>
    </w:p>
  </w:footnote>
  <w:footnote w:id="7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Taken</w:t>
      </w:r>
      <w:r w:rsidRPr="00914EA3">
        <w:rPr>
          <w:rFonts w:asciiTheme="minorHAnsi" w:hAnsiTheme="minorHAnsi" w:cstheme="minorHAnsi"/>
          <w:lang w:val="en-US" w:bidi="he-IL"/>
        </w:rPr>
        <w:t xml:space="preserve"> </w:t>
      </w:r>
      <w:r w:rsidRPr="004F2665">
        <w:rPr>
          <w:rFonts w:asciiTheme="minorHAnsi" w:hAnsiTheme="minorHAnsi" w:cstheme="minorHAnsi"/>
          <w:lang w:val="en-US" w:bidi="he-IL"/>
        </w:rPr>
        <w:t>from</w:t>
      </w:r>
      <w:r w:rsidRPr="00914EA3">
        <w:rPr>
          <w:rFonts w:asciiTheme="minorHAnsi" w:hAnsiTheme="minorHAnsi" w:cstheme="minorHAnsi"/>
          <w:lang w:val="en-US" w:bidi="he-IL"/>
        </w:rPr>
        <w:t xml:space="preserve"> </w:t>
      </w:r>
      <w:r w:rsidRPr="004F2665">
        <w:rPr>
          <w:rFonts w:asciiTheme="minorHAnsi" w:hAnsiTheme="minorHAnsi" w:cstheme="minorHAnsi"/>
          <w:lang w:bidi="he-IL"/>
        </w:rPr>
        <w:t>Зайцев</w:t>
      </w:r>
      <w:r w:rsidRPr="00914EA3">
        <w:rPr>
          <w:rFonts w:asciiTheme="minorHAnsi" w:hAnsiTheme="minorHAnsi" w:cstheme="minorHAnsi"/>
          <w:lang w:val="en-US" w:bidi="he-IL"/>
        </w:rPr>
        <w:t xml:space="preserve">, </w:t>
      </w:r>
      <w:r w:rsidRPr="004F2665">
        <w:rPr>
          <w:rFonts w:asciiTheme="minorHAnsi" w:hAnsiTheme="minorHAnsi" w:cstheme="minorHAnsi"/>
          <w:lang w:val="en-US" w:bidi="he-IL"/>
        </w:rPr>
        <w:t>p</w:t>
      </w:r>
      <w:r w:rsidRPr="00914EA3">
        <w:rPr>
          <w:rFonts w:asciiTheme="minorHAnsi" w:hAnsiTheme="minorHAnsi" w:cstheme="minorHAnsi"/>
          <w:lang w:val="en-US" w:bidi="he-IL"/>
        </w:rPr>
        <w:t xml:space="preserve">. 84. </w:t>
      </w:r>
      <w:r w:rsidRPr="004F2665">
        <w:rPr>
          <w:rFonts w:asciiTheme="minorHAnsi" w:hAnsiTheme="minorHAnsi" w:cstheme="minorHAnsi"/>
          <w:lang w:val="en-US"/>
        </w:rPr>
        <w:t xml:space="preserve">Author’s translation. </w:t>
      </w:r>
    </w:p>
  </w:footnote>
  <w:footnote w:id="77">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Burgess, p. 3.</w:t>
      </w:r>
      <w:r w:rsidRPr="004F2665">
        <w:rPr>
          <w:rFonts w:asciiTheme="minorHAnsi" w:hAnsiTheme="minorHAnsi" w:cstheme="minorHAnsi"/>
          <w:sz w:val="20"/>
          <w:szCs w:val="20"/>
          <w:lang w:val="en-US"/>
        </w:rPr>
        <w:t xml:space="preserve"> </w:t>
      </w:r>
    </w:p>
  </w:footnote>
  <w:footnote w:id="7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Зайцев</w:t>
      </w:r>
      <w:r w:rsidRPr="004F2665">
        <w:rPr>
          <w:rFonts w:asciiTheme="minorHAnsi" w:hAnsiTheme="minorHAnsi" w:cstheme="minorHAnsi"/>
          <w:lang w:val="en-US" w:bidi="he-IL"/>
        </w:rPr>
        <w:t>, p. 89.</w:t>
      </w:r>
      <w:r w:rsidRPr="004F2665">
        <w:rPr>
          <w:rFonts w:asciiTheme="minorHAnsi" w:hAnsiTheme="minorHAnsi" w:cstheme="minorHAnsi"/>
          <w:lang w:val="en-US"/>
        </w:rPr>
        <w:t xml:space="preserve"> Author’s translation.</w:t>
      </w:r>
    </w:p>
  </w:footnote>
  <w:footnote w:id="7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Зайцев</w:t>
      </w:r>
      <w:r w:rsidRPr="004F2665">
        <w:rPr>
          <w:rFonts w:asciiTheme="minorHAnsi" w:hAnsiTheme="minorHAnsi" w:cstheme="minorHAnsi"/>
          <w:lang w:val="en-US" w:bidi="he-IL"/>
        </w:rPr>
        <w:t>, p. 102.</w:t>
      </w:r>
      <w:r w:rsidRPr="004F2665">
        <w:rPr>
          <w:rFonts w:asciiTheme="minorHAnsi" w:hAnsiTheme="minorHAnsi" w:cstheme="minorHAnsi"/>
          <w:lang w:val="en-US"/>
        </w:rPr>
        <w:t xml:space="preserve"> </w:t>
      </w:r>
    </w:p>
  </w:footnote>
  <w:footnote w:id="8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Mantzaridis, p. 87. </w:t>
      </w:r>
    </w:p>
  </w:footnote>
  <w:footnote w:id="8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Hallonsten, p. 283, 286. </w:t>
      </w:r>
    </w:p>
  </w:footnote>
  <w:footnote w:id="82">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xml:space="preserve">, p. 121. </w:t>
      </w:r>
    </w:p>
  </w:footnote>
  <w:footnote w:id="83">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Noted in Franks, p. 100. </w:t>
      </w:r>
    </w:p>
  </w:footnote>
  <w:footnote w:id="84">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Noted in Keating, p. 235.</w:t>
      </w:r>
      <w:r w:rsidRPr="004F2665">
        <w:rPr>
          <w:rFonts w:asciiTheme="minorHAnsi" w:hAnsiTheme="minorHAnsi" w:cstheme="minorHAnsi"/>
          <w:sz w:val="20"/>
          <w:szCs w:val="20"/>
          <w:lang w:val="en-US"/>
        </w:rPr>
        <w:t xml:space="preserve"> </w:t>
      </w:r>
    </w:p>
  </w:footnote>
  <w:footnote w:id="8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236.</w:t>
      </w:r>
    </w:p>
  </w:footnote>
  <w:footnote w:id="8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 xml:space="preserve">Smedes L. B. Union with Christ. – Grand Rapids, MI: Eerdmans, 1983. – P. 7-8, 117; Caponi F. J. Karl Rahner: Divinization in Roman Catholicism </w:t>
      </w:r>
      <w:r w:rsidRPr="004F2665">
        <w:rPr>
          <w:rFonts w:asciiTheme="minorHAnsi" w:hAnsiTheme="minorHAnsi" w:cstheme="minorHAnsi"/>
          <w:lang w:val="en-US"/>
        </w:rPr>
        <w:t>// Christensen M. J., Wittung J. A. Partakers of the Divine Nature: The History and Development of Deification in the Christian Traditions. – Madison, NJ: Dickson University Press, 2007. – P. 259-273.</w:t>
      </w:r>
    </w:p>
  </w:footnote>
  <w:footnote w:id="87">
    <w:p w:rsidR="0027038D" w:rsidRPr="004F2665" w:rsidRDefault="0027038D" w:rsidP="0027038D">
      <w:pPr>
        <w:rPr>
          <w:rFonts w:asciiTheme="minorHAnsi" w:eastAsia="MS Mincho" w:hAnsiTheme="minorHAnsi" w:cstheme="minorHAnsi"/>
          <w:sz w:val="20"/>
          <w:szCs w:val="20"/>
          <w:lang w:val="en-US" w:eastAsia="ja-JP"/>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Noted in Vishnevskaya T. Divinization as Perichoretic Embrace in Maximus the Confessor // Christensen M. J., Wittung J. A. Partakers of the Divine Nature: The History and Development of Deification in the Christian Traditions. – Madison, NJ: Fairleigh Dickson University Press, 2007. – Kindle ed. 2462-2464. </w:t>
      </w:r>
    </w:p>
  </w:footnote>
  <w:footnote w:id="88">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Noted in Kdrkkdinen, Kindle ed. 2460-2462.</w:t>
      </w:r>
    </w:p>
  </w:footnote>
  <w:footnote w:id="89">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Noted in Horton S. Traditional Reformed Response // Beilby J. K., Eddy P. R., </w:t>
      </w:r>
      <w:r>
        <w:rPr>
          <w:rFonts w:asciiTheme="minorHAnsi" w:hAnsiTheme="minorHAnsi" w:cstheme="minorHAnsi"/>
          <w:sz w:val="20"/>
          <w:szCs w:val="20"/>
          <w:lang w:val="en-US"/>
        </w:rPr>
        <w:t>Enderlein</w:t>
      </w:r>
      <w:r w:rsidRPr="004F2665">
        <w:rPr>
          <w:rFonts w:asciiTheme="minorHAnsi" w:hAnsiTheme="minorHAnsi" w:cstheme="minorHAnsi"/>
          <w:sz w:val="20"/>
          <w:szCs w:val="20"/>
          <w:lang w:val="en-US"/>
        </w:rPr>
        <w:t xml:space="preserve"> S. E. Justification: Five Views. – Downers Grove, IL: Intervarsity, 2011 – Kindle ed. 2695-2697.  </w:t>
      </w:r>
    </w:p>
  </w:footnote>
  <w:footnote w:id="9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2702-2708. </w:t>
      </w:r>
    </w:p>
  </w:footnote>
  <w:footnote w:id="9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 xml:space="preserve">See Gross, p. 11-35; </w:t>
      </w:r>
      <w:r w:rsidRPr="004F2665">
        <w:rPr>
          <w:rFonts w:asciiTheme="minorHAnsi" w:hAnsiTheme="minorHAnsi" w:cstheme="minorHAnsi"/>
          <w:lang w:val="en-US"/>
        </w:rPr>
        <w:t xml:space="preserve">Lenz J. R. Deification of the Philosopher in Classical Greek // Christensen M. J., Wittung J. A. Partakers of the Divine Nature: The History and Development of Deification in the Christian Traditions. – Madison, NJ: Fairleigh Dickson University Press, 2007. – P. 49. </w:t>
      </w:r>
    </w:p>
  </w:footnote>
  <w:footnote w:id="92">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11.</w:t>
      </w:r>
      <w:r w:rsidRPr="004F2665">
        <w:rPr>
          <w:rFonts w:asciiTheme="minorHAnsi" w:hAnsiTheme="minorHAnsi" w:cstheme="minorHAnsi"/>
          <w:lang w:val="en-US"/>
        </w:rPr>
        <w:t xml:space="preserve"> </w:t>
      </w:r>
    </w:p>
  </w:footnote>
  <w:footnote w:id="93">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17.</w:t>
      </w:r>
      <w:r w:rsidRPr="004F2665">
        <w:rPr>
          <w:rFonts w:asciiTheme="minorHAnsi" w:hAnsiTheme="minorHAnsi" w:cstheme="minorHAnsi"/>
          <w:lang w:val="en-US"/>
        </w:rPr>
        <w:t xml:space="preserve"> </w:t>
      </w:r>
    </w:p>
  </w:footnote>
  <w:footnote w:id="9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22-35.</w:t>
      </w:r>
      <w:r w:rsidRPr="004F2665">
        <w:rPr>
          <w:rFonts w:asciiTheme="minorHAnsi" w:hAnsiTheme="minorHAnsi" w:cstheme="minorHAnsi"/>
          <w:lang w:val="en-US"/>
        </w:rPr>
        <w:t xml:space="preserve"> </w:t>
      </w:r>
    </w:p>
  </w:footnote>
  <w:footnote w:id="9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See Franks, p. 33.</w:t>
      </w:r>
      <w:r w:rsidRPr="004F2665">
        <w:rPr>
          <w:rFonts w:asciiTheme="minorHAnsi" w:hAnsiTheme="minorHAnsi" w:cstheme="minorHAnsi"/>
          <w:lang w:val="en-US"/>
        </w:rPr>
        <w:t xml:space="preserve"> </w:t>
      </w:r>
    </w:p>
  </w:footnote>
  <w:footnote w:id="9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Lenz, p. 53.  </w:t>
      </w:r>
    </w:p>
  </w:footnote>
  <w:footnote w:id="97">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41-42.</w:t>
      </w:r>
      <w:r w:rsidRPr="004F2665">
        <w:rPr>
          <w:rFonts w:asciiTheme="minorHAnsi" w:hAnsiTheme="minorHAnsi" w:cstheme="minorHAnsi"/>
          <w:lang w:val="en-US"/>
        </w:rPr>
        <w:t xml:space="preserve"> </w:t>
      </w:r>
    </w:p>
  </w:footnote>
  <w:footnote w:id="9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73-77.</w:t>
      </w:r>
      <w:r w:rsidRPr="004F2665">
        <w:rPr>
          <w:rFonts w:asciiTheme="minorHAnsi" w:hAnsiTheme="minorHAnsi" w:cstheme="minorHAnsi"/>
          <w:lang w:val="en-US"/>
        </w:rPr>
        <w:t xml:space="preserve">  </w:t>
      </w:r>
    </w:p>
  </w:footnote>
  <w:footnote w:id="9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Bray G. The Doctrine of God. – Downers Grove, IL: Intervarsity Press, 1993. – P. 33. </w:t>
      </w:r>
    </w:p>
  </w:footnote>
  <w:footnote w:id="10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 xml:space="preserve">Кураев А. Протестантам о православии. – 7-е изд. – Ростов-на-Дону: Троицкое Слово, 2003. – </w:t>
      </w:r>
      <w:r w:rsidRPr="004F2665">
        <w:rPr>
          <w:rFonts w:asciiTheme="minorHAnsi" w:hAnsiTheme="minorHAnsi" w:cstheme="minorHAnsi"/>
          <w:lang w:val="en-US"/>
        </w:rPr>
        <w:t>P</w:t>
      </w:r>
      <w:r w:rsidRPr="004F2665">
        <w:rPr>
          <w:rFonts w:asciiTheme="minorHAnsi" w:hAnsiTheme="minorHAnsi" w:cstheme="minorHAnsi"/>
        </w:rPr>
        <w:t xml:space="preserve">. 51. </w:t>
      </w:r>
      <w:r w:rsidRPr="004F2665">
        <w:rPr>
          <w:rFonts w:asciiTheme="minorHAnsi" w:hAnsiTheme="minorHAnsi" w:cstheme="minorHAnsi"/>
          <w:lang w:val="en-US"/>
        </w:rPr>
        <w:t>Author’s translation.</w:t>
      </w:r>
    </w:p>
  </w:footnote>
  <w:footnote w:id="10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 xml:space="preserve">Copleston F. A History of Philosophy. </w:t>
      </w:r>
      <w:r w:rsidRPr="004F2665">
        <w:rPr>
          <w:rFonts w:asciiTheme="minorHAnsi" w:hAnsiTheme="minorHAnsi" w:cstheme="minorHAnsi"/>
          <w:lang w:val="en-US"/>
        </w:rPr>
        <w:t>–</w:t>
      </w:r>
      <w:r w:rsidRPr="004F2665">
        <w:rPr>
          <w:rFonts w:asciiTheme="minorHAnsi" w:hAnsiTheme="minorHAnsi" w:cstheme="minorHAnsi"/>
          <w:lang w:val="en-US" w:bidi="he-IL"/>
        </w:rPr>
        <w:t xml:space="preserve"> New York: Doubleday, 1993. </w:t>
      </w:r>
      <w:r w:rsidRPr="004F2665">
        <w:rPr>
          <w:rFonts w:asciiTheme="minorHAnsi" w:hAnsiTheme="minorHAnsi" w:cstheme="minorHAnsi"/>
          <w:lang w:val="en-US"/>
        </w:rPr>
        <w:t>–</w:t>
      </w:r>
      <w:r w:rsidRPr="004F2665">
        <w:rPr>
          <w:rFonts w:asciiTheme="minorHAnsi" w:hAnsiTheme="minorHAnsi" w:cstheme="minorHAnsi"/>
          <w:lang w:val="en-US" w:bidi="he-IL"/>
        </w:rPr>
        <w:t xml:space="preserve"> P. 483.  </w:t>
      </w:r>
    </w:p>
  </w:footnote>
  <w:footnote w:id="102">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Sahakian W. S. History of Philosophy. – New York: Barnes and Noble, 1968. – P. 82</w:t>
      </w:r>
      <w:r w:rsidRPr="004F2665">
        <w:rPr>
          <w:rFonts w:asciiTheme="minorHAnsi" w:hAnsiTheme="minorHAnsi" w:cstheme="minorHAnsi"/>
          <w:lang w:val="en-US" w:bidi="he-IL"/>
        </w:rPr>
        <w:t>.</w:t>
      </w:r>
    </w:p>
  </w:footnote>
  <w:footnote w:id="103">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xml:space="preserve">, p. 62. </w:t>
      </w:r>
      <w:r>
        <w:rPr>
          <w:rFonts w:asciiTheme="minorHAnsi" w:hAnsiTheme="minorHAnsi" w:cstheme="minorHAnsi"/>
          <w:sz w:val="20"/>
          <w:szCs w:val="20"/>
          <w:lang w:val="en-US"/>
        </w:rPr>
        <w:t>Author’s translation.</w:t>
      </w:r>
    </w:p>
  </w:footnote>
  <w:footnote w:id="104">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Sahakian, p. 86.  </w:t>
      </w:r>
    </w:p>
  </w:footnote>
  <w:footnote w:id="10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p. 85.  </w:t>
      </w:r>
    </w:p>
  </w:footnote>
  <w:footnote w:id="10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4F2665">
        <w:rPr>
          <w:rFonts w:asciiTheme="minorHAnsi" w:hAnsiTheme="minorHAnsi" w:cstheme="minorHAnsi"/>
          <w:lang w:val="en-US"/>
        </w:rPr>
        <w:t>, p. 25. Author’s translation.</w:t>
      </w:r>
    </w:p>
  </w:footnote>
  <w:footnote w:id="107">
    <w:p w:rsidR="0027038D" w:rsidRPr="00E40676" w:rsidRDefault="0027038D" w:rsidP="0027038D">
      <w:pPr>
        <w:rPr>
          <w:rFonts w:asciiTheme="minorHAnsi" w:hAnsiTheme="minorHAnsi" w:cstheme="minorHAnsi"/>
          <w:sz w:val="20"/>
          <w:szCs w:val="20"/>
          <w:lang w:val="en-US" w:bidi="he-IL"/>
        </w:rPr>
      </w:pPr>
      <w:r w:rsidRPr="00E40676">
        <w:rPr>
          <w:rStyle w:val="FootnoteReference"/>
          <w:rFonts w:asciiTheme="minorHAnsi" w:hAnsiTheme="minorHAnsi" w:cstheme="minorHAnsi"/>
          <w:szCs w:val="20"/>
        </w:rPr>
        <w:footnoteRef/>
      </w:r>
      <w:r w:rsidRPr="00E40676">
        <w:rPr>
          <w:rFonts w:asciiTheme="minorHAnsi" w:hAnsiTheme="minorHAnsi" w:cstheme="minorHAnsi"/>
          <w:sz w:val="20"/>
          <w:szCs w:val="20"/>
          <w:lang w:val="en-US" w:bidi="he-IL"/>
        </w:rPr>
        <w:t>Ibid, p. 201.</w:t>
      </w:r>
      <w:r w:rsidRPr="00E40676">
        <w:rPr>
          <w:rFonts w:asciiTheme="minorHAnsi" w:hAnsiTheme="minorHAnsi" w:cstheme="minorHAnsi"/>
          <w:sz w:val="20"/>
          <w:szCs w:val="20"/>
          <w:lang w:val="en-US"/>
        </w:rPr>
        <w:t xml:space="preserve"> Author’s translation.</w:t>
      </w:r>
    </w:p>
  </w:footnote>
  <w:footnote w:id="108">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Слово</w:t>
      </w:r>
      <w:r w:rsidRPr="006E7906">
        <w:rPr>
          <w:rFonts w:asciiTheme="minorHAnsi" w:hAnsiTheme="minorHAnsi" w:cstheme="minorHAnsi"/>
          <w:lang w:val="en-US" w:bidi="he-IL"/>
        </w:rPr>
        <w:t xml:space="preserve"> </w:t>
      </w:r>
      <w:r w:rsidRPr="004F2665">
        <w:rPr>
          <w:rFonts w:asciiTheme="minorHAnsi" w:hAnsiTheme="minorHAnsi" w:cstheme="minorHAnsi"/>
          <w:lang w:bidi="he-IL"/>
        </w:rPr>
        <w:t>об</w:t>
      </w:r>
      <w:r w:rsidRPr="006E7906">
        <w:rPr>
          <w:rFonts w:asciiTheme="minorHAnsi" w:hAnsiTheme="minorHAnsi" w:cstheme="minorHAnsi"/>
          <w:lang w:val="en-US" w:bidi="he-IL"/>
        </w:rPr>
        <w:t xml:space="preserve"> </w:t>
      </w:r>
      <w:r w:rsidRPr="004F2665">
        <w:rPr>
          <w:rFonts w:asciiTheme="minorHAnsi" w:hAnsiTheme="minorHAnsi" w:cstheme="minorHAnsi"/>
          <w:lang w:bidi="he-IL"/>
        </w:rPr>
        <w:t>обожении</w:t>
      </w:r>
      <w:r w:rsidRPr="006E7906">
        <w:rPr>
          <w:rFonts w:asciiTheme="minorHAnsi" w:hAnsiTheme="minorHAnsi" w:cstheme="minorHAnsi"/>
          <w:lang w:val="en-US" w:bidi="he-IL"/>
        </w:rPr>
        <w:t xml:space="preserve">, </w:t>
      </w:r>
      <w:r w:rsidRPr="004F2665">
        <w:rPr>
          <w:rFonts w:asciiTheme="minorHAnsi" w:hAnsiTheme="minorHAnsi" w:cstheme="minorHAnsi"/>
          <w:lang w:val="en-US" w:bidi="he-IL"/>
        </w:rPr>
        <w:t>p</w:t>
      </w:r>
      <w:r w:rsidRPr="006E7906">
        <w:rPr>
          <w:rFonts w:asciiTheme="minorHAnsi" w:hAnsiTheme="minorHAnsi" w:cstheme="minorHAnsi"/>
          <w:lang w:val="en-US" w:bidi="he-IL"/>
        </w:rPr>
        <w:t>. 14.</w:t>
      </w:r>
      <w:r w:rsidRPr="006E7906">
        <w:rPr>
          <w:rFonts w:asciiTheme="minorHAnsi" w:hAnsiTheme="minorHAnsi" w:cstheme="minorHAnsi"/>
          <w:lang w:val="en-US"/>
        </w:rPr>
        <w:t xml:space="preserve"> </w:t>
      </w:r>
      <w:r w:rsidRPr="004F2665">
        <w:rPr>
          <w:rFonts w:asciiTheme="minorHAnsi" w:hAnsiTheme="minorHAnsi" w:cstheme="minorHAnsi"/>
          <w:lang w:val="en-US"/>
        </w:rPr>
        <w:t>Author’s translation.</w:t>
      </w:r>
    </w:p>
  </w:footnote>
  <w:footnote w:id="10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19.</w:t>
      </w:r>
      <w:r w:rsidRPr="004F2665">
        <w:rPr>
          <w:rFonts w:asciiTheme="minorHAnsi" w:hAnsiTheme="minorHAnsi" w:cstheme="minorHAnsi"/>
          <w:lang w:val="en-US"/>
        </w:rPr>
        <w:t xml:space="preserve">   </w:t>
      </w:r>
    </w:p>
  </w:footnote>
  <w:footnote w:id="110">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Lenz, p. 62. </w:t>
      </w:r>
    </w:p>
  </w:footnote>
  <w:footnote w:id="11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Barry Powell. Classical Myth, 4th ed., </w:t>
      </w:r>
      <w:r>
        <w:rPr>
          <w:rFonts w:asciiTheme="minorHAnsi" w:hAnsiTheme="minorHAnsi" w:cstheme="minorHAnsi"/>
          <w:lang w:val="en-US"/>
        </w:rPr>
        <w:t>p</w:t>
      </w:r>
      <w:r w:rsidRPr="004F2665">
        <w:rPr>
          <w:rFonts w:asciiTheme="minorHAnsi" w:hAnsiTheme="minorHAnsi" w:cstheme="minorHAnsi"/>
          <w:lang w:val="en-US"/>
        </w:rPr>
        <w:t xml:space="preserve">. 306; taken from Lenz, p. 60 </w:t>
      </w:r>
    </w:p>
  </w:footnote>
  <w:footnote w:id="112">
    <w:p w:rsidR="0027038D" w:rsidRPr="004F2665" w:rsidRDefault="0027038D" w:rsidP="0027038D">
      <w:pPr>
        <w:jc w:val="both"/>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Bloesch D. G. God the Almighty. – Downers Grove, IL: Intervarsity, 1995. – p. 41. </w:t>
      </w:r>
    </w:p>
  </w:footnote>
  <w:footnote w:id="113">
    <w:p w:rsidR="0027038D" w:rsidRPr="004F2665" w:rsidRDefault="0027038D" w:rsidP="0027038D">
      <w:pPr>
        <w:pStyle w:val="FootnoteText"/>
        <w:jc w:val="both"/>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Erickson M. J. God the Father Almighty. – Grand Rapids, MI: Baker, 1998. – p. 229. </w:t>
      </w:r>
    </w:p>
  </w:footnote>
  <w:footnote w:id="114">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52.</w:t>
      </w:r>
      <w:r w:rsidRPr="004F2665">
        <w:rPr>
          <w:rFonts w:asciiTheme="minorHAnsi" w:hAnsiTheme="minorHAnsi" w:cstheme="minorHAnsi"/>
          <w:sz w:val="20"/>
          <w:szCs w:val="20"/>
          <w:lang w:val="en-US"/>
        </w:rPr>
        <w:t xml:space="preserve"> </w:t>
      </w:r>
    </w:p>
  </w:footnote>
  <w:footnote w:id="115">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Maximus the Confessor, </w:t>
      </w:r>
      <w:r w:rsidRPr="004F2665">
        <w:rPr>
          <w:rFonts w:asciiTheme="minorHAnsi" w:hAnsiTheme="minorHAnsi" w:cstheme="minorHAnsi"/>
          <w:i/>
          <w:iCs/>
          <w:sz w:val="20"/>
          <w:szCs w:val="20"/>
          <w:lang w:val="en-US"/>
        </w:rPr>
        <w:t>Ambiguities</w:t>
      </w:r>
      <w:r w:rsidRPr="004F2665">
        <w:rPr>
          <w:rFonts w:asciiTheme="minorHAnsi" w:hAnsiTheme="minorHAnsi" w:cstheme="minorHAnsi"/>
          <w:sz w:val="20"/>
          <w:szCs w:val="20"/>
          <w:lang w:val="en-US"/>
        </w:rPr>
        <w:t xml:space="preserve">, 41; quotation from </w:t>
      </w:r>
      <w:r w:rsidRPr="004F2665">
        <w:rPr>
          <w:rFonts w:asciiTheme="minorHAnsi" w:hAnsiTheme="minorHAnsi" w:cstheme="minorHAnsi"/>
          <w:sz w:val="20"/>
          <w:szCs w:val="20"/>
          <w:lang w:val="en-US" w:bidi="he-IL"/>
        </w:rPr>
        <w:t>Pelikan, p. 267.</w:t>
      </w:r>
      <w:r w:rsidRPr="004F2665">
        <w:rPr>
          <w:rFonts w:asciiTheme="minorHAnsi" w:hAnsiTheme="minorHAnsi" w:cstheme="minorHAnsi"/>
          <w:sz w:val="20"/>
          <w:szCs w:val="20"/>
          <w:lang w:val="en-US"/>
        </w:rPr>
        <w:t xml:space="preserve"> </w:t>
      </w:r>
    </w:p>
  </w:footnote>
  <w:footnote w:id="116">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Pelikan J. The Christian Tradition – Chicago: University of Chicago Press, 1977.  – Vol 1. – P. 155, 345; quotation from Bird, Kindle ed. 2762-2763.  </w:t>
      </w:r>
    </w:p>
  </w:footnote>
  <w:footnote w:id="117">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Pr>
          <w:rFonts w:asciiTheme="minorHAnsi" w:hAnsiTheme="minorHAnsi" w:cstheme="minorHAnsi"/>
          <w:sz w:val="20"/>
          <w:szCs w:val="20"/>
          <w:lang w:val="en-US"/>
        </w:rPr>
        <w:t>Dunn</w:t>
      </w:r>
      <w:r w:rsidRPr="004F2665">
        <w:rPr>
          <w:rFonts w:asciiTheme="minorHAnsi" w:hAnsiTheme="minorHAnsi" w:cstheme="minorHAnsi"/>
          <w:sz w:val="20"/>
          <w:szCs w:val="20"/>
          <w:lang w:val="en-US"/>
        </w:rPr>
        <w:t xml:space="preserve"> </w:t>
      </w:r>
      <w:r w:rsidRPr="004F2665">
        <w:rPr>
          <w:rFonts w:asciiTheme="minorHAnsi" w:hAnsiTheme="minorHAnsi" w:cstheme="minorHAnsi"/>
          <w:sz w:val="20"/>
          <w:szCs w:val="20"/>
          <w:lang w:val="en-US" w:bidi="he-IL"/>
        </w:rPr>
        <w:t xml:space="preserve">J. D. G. New Perspective Response </w:t>
      </w:r>
      <w:r w:rsidRPr="004F2665">
        <w:rPr>
          <w:rFonts w:asciiTheme="minorHAnsi" w:hAnsiTheme="minorHAnsi" w:cstheme="minorHAnsi"/>
          <w:sz w:val="20"/>
          <w:szCs w:val="20"/>
          <w:lang w:val="en-US"/>
        </w:rPr>
        <w:t xml:space="preserve">// Beilby J. K., Eddy P. R., </w:t>
      </w:r>
      <w:r>
        <w:rPr>
          <w:rFonts w:asciiTheme="minorHAnsi" w:hAnsiTheme="minorHAnsi" w:cstheme="minorHAnsi"/>
          <w:sz w:val="20"/>
          <w:szCs w:val="20"/>
          <w:lang w:val="en-US"/>
        </w:rPr>
        <w:t>Enderlein</w:t>
      </w:r>
      <w:r w:rsidRPr="004F2665">
        <w:rPr>
          <w:rFonts w:asciiTheme="minorHAnsi" w:hAnsiTheme="minorHAnsi" w:cstheme="minorHAnsi"/>
          <w:sz w:val="20"/>
          <w:szCs w:val="20"/>
          <w:lang w:val="en-US"/>
        </w:rPr>
        <w:t xml:space="preserve"> S. E. Justification: Five Views. – Downers Grove, IL: Intervarsity, 2011. – Kindle ed. 2804-2805. </w:t>
      </w:r>
    </w:p>
  </w:footnote>
  <w:footnote w:id="118">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Pr>
          <w:rFonts w:asciiTheme="minorHAnsi" w:hAnsiTheme="minorHAnsi" w:cstheme="minorHAnsi"/>
          <w:sz w:val="20"/>
          <w:szCs w:val="20"/>
          <w:lang w:val="en-US"/>
        </w:rPr>
        <w:t>Warfield</w:t>
      </w:r>
      <w:r w:rsidRPr="004F2665">
        <w:rPr>
          <w:rFonts w:asciiTheme="minorHAnsi" w:hAnsiTheme="minorHAnsi" w:cstheme="minorHAnsi"/>
          <w:sz w:val="20"/>
          <w:szCs w:val="20"/>
          <w:lang w:val="en-US"/>
        </w:rPr>
        <w:t xml:space="preserve"> B. B.</w:t>
      </w:r>
      <w:r w:rsidRPr="004F2665">
        <w:rPr>
          <w:rFonts w:asciiTheme="minorHAnsi" w:hAnsiTheme="minorHAnsi" w:cstheme="minorHAnsi"/>
          <w:iCs/>
          <w:sz w:val="20"/>
          <w:szCs w:val="20"/>
          <w:lang w:val="en-US"/>
        </w:rPr>
        <w:t xml:space="preserve"> The Works of Benjamin B. Warfield, Volume 1: Revelation and Inspiration</w:t>
      </w:r>
      <w:r w:rsidRPr="004F2665">
        <w:rPr>
          <w:rFonts w:asciiTheme="minorHAnsi" w:hAnsiTheme="minorHAnsi" w:cstheme="minorHAnsi"/>
          <w:sz w:val="20"/>
          <w:szCs w:val="20"/>
          <w:lang w:val="en-US"/>
        </w:rPr>
        <w:t xml:space="preserve">. – Bellingham, WA: Logos Bible Software, 2008. – P. 84. </w:t>
      </w:r>
    </w:p>
  </w:footnote>
  <w:footnote w:id="119">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66.</w:t>
      </w:r>
      <w:r w:rsidRPr="004F2665">
        <w:rPr>
          <w:rFonts w:asciiTheme="minorHAnsi" w:hAnsiTheme="minorHAnsi" w:cstheme="minorHAnsi"/>
          <w:lang w:val="en-US"/>
        </w:rPr>
        <w:t xml:space="preserve"> </w:t>
      </w:r>
    </w:p>
  </w:footnote>
  <w:footnote w:id="120">
    <w:p w:rsidR="0027038D" w:rsidRPr="004F2665" w:rsidRDefault="0027038D" w:rsidP="0027038D">
      <w:pPr>
        <w:rPr>
          <w:rFonts w:asciiTheme="minorHAnsi" w:hAnsiTheme="minorHAnsi" w:cstheme="minorHAnsi"/>
          <w:sz w:val="20"/>
          <w:szCs w:val="20"/>
          <w:lang w:val="en-US"/>
        </w:rPr>
      </w:pPr>
      <w:r w:rsidRPr="007234B4">
        <w:rPr>
          <w:rFonts w:asciiTheme="minorHAnsi" w:hAnsiTheme="minorHAnsi" w:cstheme="minorHAnsi"/>
          <w:sz w:val="20"/>
          <w:szCs w:val="20"/>
          <w:vertAlign w:val="superscript"/>
        </w:rPr>
        <w:footnoteRef/>
      </w:r>
      <w:r w:rsidRPr="004F2665">
        <w:rPr>
          <w:rFonts w:asciiTheme="minorHAnsi" w:hAnsiTheme="minorHAnsi" w:cstheme="minorHAnsi"/>
          <w:sz w:val="20"/>
          <w:szCs w:val="20"/>
          <w:lang w:val="en-US"/>
        </w:rPr>
        <w:t xml:space="preserve">Arndt W., Danker F. W., Bauer W., Gingrich F. W. </w:t>
      </w:r>
      <w:r w:rsidRPr="004F2665">
        <w:rPr>
          <w:rFonts w:asciiTheme="minorHAnsi" w:hAnsiTheme="minorHAnsi" w:cstheme="minorHAnsi"/>
          <w:iCs/>
          <w:sz w:val="20"/>
          <w:szCs w:val="20"/>
          <w:lang w:val="en-US"/>
        </w:rPr>
        <w:t xml:space="preserve">A Greek-English </w:t>
      </w:r>
      <w:r>
        <w:rPr>
          <w:rFonts w:asciiTheme="minorHAnsi" w:hAnsiTheme="minorHAnsi" w:cstheme="minorHAnsi"/>
          <w:iCs/>
          <w:sz w:val="20"/>
          <w:szCs w:val="20"/>
          <w:lang w:val="en-US"/>
        </w:rPr>
        <w:t>L</w:t>
      </w:r>
      <w:r w:rsidRPr="004F2665">
        <w:rPr>
          <w:rFonts w:asciiTheme="minorHAnsi" w:hAnsiTheme="minorHAnsi" w:cstheme="minorHAnsi"/>
          <w:iCs/>
          <w:sz w:val="20"/>
          <w:szCs w:val="20"/>
          <w:lang w:val="en-US"/>
        </w:rPr>
        <w:t xml:space="preserve">exicon of the New Testament and </w:t>
      </w:r>
      <w:r>
        <w:rPr>
          <w:rFonts w:asciiTheme="minorHAnsi" w:hAnsiTheme="minorHAnsi" w:cstheme="minorHAnsi"/>
          <w:iCs/>
          <w:sz w:val="20"/>
          <w:szCs w:val="20"/>
          <w:lang w:val="en-US"/>
        </w:rPr>
        <w:t>O</w:t>
      </w:r>
      <w:r w:rsidRPr="004F2665">
        <w:rPr>
          <w:rFonts w:asciiTheme="minorHAnsi" w:hAnsiTheme="minorHAnsi" w:cstheme="minorHAnsi"/>
          <w:iCs/>
          <w:sz w:val="20"/>
          <w:szCs w:val="20"/>
          <w:lang w:val="en-US"/>
        </w:rPr>
        <w:t xml:space="preserve">ther </w:t>
      </w:r>
      <w:r>
        <w:rPr>
          <w:rFonts w:asciiTheme="minorHAnsi" w:hAnsiTheme="minorHAnsi" w:cstheme="minorHAnsi"/>
          <w:iCs/>
          <w:sz w:val="20"/>
          <w:szCs w:val="20"/>
          <w:lang w:val="en-US"/>
        </w:rPr>
        <w:t>E</w:t>
      </w:r>
      <w:r w:rsidRPr="004F2665">
        <w:rPr>
          <w:rFonts w:asciiTheme="minorHAnsi" w:hAnsiTheme="minorHAnsi" w:cstheme="minorHAnsi"/>
          <w:iCs/>
          <w:sz w:val="20"/>
          <w:szCs w:val="20"/>
          <w:lang w:val="en-US"/>
        </w:rPr>
        <w:t xml:space="preserve">arly Christian literature </w:t>
      </w:r>
      <w:r w:rsidRPr="004F2665">
        <w:rPr>
          <w:rFonts w:asciiTheme="minorHAnsi" w:hAnsiTheme="minorHAnsi" w:cstheme="minorHAnsi"/>
          <w:sz w:val="20"/>
          <w:szCs w:val="20"/>
          <w:lang w:val="en-US"/>
        </w:rPr>
        <w:t>– 3rd ed. – Chicago: University of Chicago Press, 2000. – P. 1069</w:t>
      </w:r>
    </w:p>
  </w:footnote>
  <w:footnote w:id="121">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It is curious to note that in the traditional Russian translation (done by the Orthodox Church) of Gal</w:t>
      </w:r>
      <w:r>
        <w:rPr>
          <w:rFonts w:asciiTheme="minorHAnsi" w:hAnsiTheme="minorHAnsi" w:cstheme="minorHAnsi"/>
          <w:lang w:val="en-US"/>
        </w:rPr>
        <w:t>atians</w:t>
      </w:r>
      <w:r w:rsidRPr="004F2665">
        <w:rPr>
          <w:rFonts w:asciiTheme="minorHAnsi" w:hAnsiTheme="minorHAnsi" w:cstheme="minorHAnsi"/>
          <w:lang w:val="en-US"/>
        </w:rPr>
        <w:t xml:space="preserve"> 5:22 and similar passages, the word “spirit” is written without the capital, implying that these virtues are the product of the “being-deified” human spirit. Although the Greek text does not distinguish between “Spirit” (πνεῦμα) and “spirit” (πνεῦμα), contextual factors favor the first option, and the word is so translated by all major English translators. </w:t>
      </w:r>
    </w:p>
  </w:footnote>
  <w:footnote w:id="122">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Starr J. Does 2 Peter 1:4 Speak of Deification? // Christensen M. J., Wittung J. A. Partakers of the Divine Nature: The History and Development of Deification in the Christian Traditions. – Madison, NJ: Fairleigh Dickson University Press, 2007. – P. 85. </w:t>
      </w:r>
    </w:p>
  </w:footnote>
  <w:footnote w:id="123">
    <w:p w:rsidR="0027038D" w:rsidRPr="004F2665" w:rsidRDefault="0027038D" w:rsidP="0027038D">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Dunn, Kindle ed. 2796-2798. </w:t>
      </w:r>
    </w:p>
  </w:footnote>
  <w:footnote w:id="124">
    <w:p w:rsidR="0027038D" w:rsidRPr="004F2665" w:rsidRDefault="0027038D" w:rsidP="0027038D">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Gross, p. 268. </w:t>
      </w:r>
    </w:p>
  </w:footnote>
  <w:footnote w:id="125">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For a thorough discussion of apophatism, see chapter 1 in volume 3 of this series. </w:t>
      </w:r>
    </w:p>
  </w:footnote>
  <w:footnote w:id="126">
    <w:p w:rsidR="0027038D" w:rsidRPr="004F2665" w:rsidRDefault="0027038D" w:rsidP="0027038D">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Pr>
          <w:rFonts w:asciiTheme="minorHAnsi" w:hAnsiTheme="minorHAnsi" w:cstheme="minorHAnsi"/>
          <w:lang w:val="en-US"/>
        </w:rPr>
        <w:t>Elliott</w:t>
      </w:r>
      <w:r w:rsidRPr="004F2665">
        <w:rPr>
          <w:rFonts w:asciiTheme="minorHAnsi" w:hAnsiTheme="minorHAnsi" w:cstheme="minorHAnsi"/>
          <w:lang w:val="en-US"/>
        </w:rPr>
        <w:t xml:space="preserve"> M. W. Chalcedon, Council of (451) // The Dictionary of Historical Theology. – Carlisle, Cumbria, U.K.: Paternoster Press, 2000. – P. 124-125.  </w:t>
      </w:r>
    </w:p>
  </w:footnote>
  <w:footnote w:id="127">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Copleston F. </w:t>
      </w:r>
      <w:r w:rsidRPr="004F2665">
        <w:rPr>
          <w:rFonts w:asciiTheme="minorHAnsi" w:eastAsia="MS PGothic" w:hAnsiTheme="minorHAnsi" w:cstheme="minorHAnsi"/>
          <w:lang w:val="en-US"/>
        </w:rPr>
        <w:t xml:space="preserve">A History of Philosophy. </w:t>
      </w:r>
      <w:r w:rsidRPr="004F2665">
        <w:rPr>
          <w:rFonts w:asciiTheme="minorHAnsi" w:hAnsiTheme="minorHAnsi" w:cstheme="minorHAnsi"/>
          <w:lang w:val="en-US"/>
        </w:rPr>
        <w:t>–</w:t>
      </w:r>
      <w:r w:rsidRPr="004F2665">
        <w:rPr>
          <w:rFonts w:asciiTheme="minorHAnsi" w:eastAsia="MS PGothic" w:hAnsiTheme="minorHAnsi" w:cstheme="minorHAnsi"/>
          <w:lang w:val="en-US"/>
        </w:rPr>
        <w:t xml:space="preserve"> New York, NY: Doubleday, 1993. </w:t>
      </w:r>
      <w:r w:rsidRPr="004F2665">
        <w:rPr>
          <w:rFonts w:asciiTheme="minorHAnsi" w:hAnsiTheme="minorHAnsi" w:cstheme="minorHAnsi"/>
          <w:lang w:val="en-US"/>
        </w:rPr>
        <w:t xml:space="preserve">– </w:t>
      </w:r>
      <w:r w:rsidRPr="004F2665">
        <w:rPr>
          <w:rFonts w:asciiTheme="minorHAnsi" w:eastAsia="MS PGothic" w:hAnsiTheme="minorHAnsi" w:cstheme="minorHAnsi"/>
          <w:lang w:val="en-US"/>
        </w:rPr>
        <w:t>P.</w:t>
      </w:r>
      <w:r w:rsidRPr="004F2665">
        <w:rPr>
          <w:rFonts w:asciiTheme="minorHAnsi" w:hAnsiTheme="minorHAnsi" w:cstheme="minorHAnsi"/>
          <w:lang w:val="en-US"/>
        </w:rPr>
        <w:t xml:space="preserve"> 446</w:t>
      </w:r>
      <w:r w:rsidRPr="004F2665">
        <w:rPr>
          <w:rFonts w:asciiTheme="minorHAnsi" w:eastAsia="MS PGothic" w:hAnsiTheme="minorHAnsi" w:cstheme="minorHAnsi"/>
          <w:lang w:val="en-US"/>
        </w:rPr>
        <w:t>.</w:t>
      </w:r>
      <w:r w:rsidRPr="004F2665">
        <w:rPr>
          <w:rFonts w:asciiTheme="minorHAnsi" w:hAnsiTheme="minorHAnsi" w:cstheme="minorHAnsi"/>
          <w:lang w:val="en-US"/>
        </w:rPr>
        <w:t xml:space="preserve"> </w:t>
      </w:r>
    </w:p>
  </w:footnote>
  <w:footnote w:id="128">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 xml:space="preserve">Лосский В. Н. Очерк мистического богословия восточной церкви и Догматическое богословие. </w:t>
      </w:r>
      <w:r w:rsidRPr="004F2665">
        <w:rPr>
          <w:rFonts w:asciiTheme="minorHAnsi" w:hAnsiTheme="minorHAnsi" w:cstheme="minorHAnsi"/>
          <w:sz w:val="20"/>
          <w:szCs w:val="20"/>
        </w:rPr>
        <w:t xml:space="preserve">– </w:t>
      </w:r>
      <w:r w:rsidRPr="004F2665">
        <w:rPr>
          <w:rFonts w:asciiTheme="minorHAnsi" w:hAnsiTheme="minorHAnsi" w:cstheme="minorHAnsi"/>
          <w:sz w:val="20"/>
          <w:szCs w:val="20"/>
          <w:lang w:bidi="he-IL"/>
        </w:rPr>
        <w:t xml:space="preserve">М: Центр СЭИ, 1991. –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201.</w:t>
      </w:r>
      <w:r w:rsidRPr="004F2665">
        <w:rPr>
          <w:rFonts w:asciiTheme="minorHAnsi" w:hAnsiTheme="minorHAnsi" w:cstheme="minorHAnsi"/>
          <w:sz w:val="20"/>
          <w:szCs w:val="20"/>
        </w:rPr>
        <w:t xml:space="preserve"> </w:t>
      </w:r>
      <w:r w:rsidRPr="004F2665">
        <w:rPr>
          <w:rFonts w:asciiTheme="minorHAnsi" w:hAnsiTheme="minorHAnsi" w:cstheme="minorHAnsi"/>
          <w:sz w:val="20"/>
          <w:szCs w:val="20"/>
          <w:lang w:val="en-US"/>
        </w:rPr>
        <w:t>Author’s translation.</w:t>
      </w:r>
    </w:p>
  </w:footnote>
  <w:footnote w:id="12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Copleston, p</w:t>
      </w:r>
      <w:r w:rsidRPr="004F2665">
        <w:rPr>
          <w:rFonts w:asciiTheme="minorHAnsi" w:eastAsia="MS PGothic" w:hAnsiTheme="minorHAnsi" w:cstheme="minorHAnsi"/>
          <w:lang w:val="en-US"/>
        </w:rPr>
        <w:t>.</w:t>
      </w:r>
      <w:r w:rsidRPr="004F2665">
        <w:rPr>
          <w:rFonts w:asciiTheme="minorHAnsi" w:hAnsiTheme="minorHAnsi" w:cstheme="minorHAnsi"/>
          <w:lang w:val="en-US"/>
        </w:rPr>
        <w:t xml:space="preserve"> 446-448</w:t>
      </w:r>
      <w:r w:rsidRPr="004F2665">
        <w:rPr>
          <w:rFonts w:asciiTheme="minorHAnsi" w:eastAsia="MS PGothic" w:hAnsiTheme="minorHAnsi" w:cstheme="minorHAnsi"/>
          <w:lang w:val="en-US"/>
        </w:rPr>
        <w:t>.</w:t>
      </w:r>
      <w:r w:rsidRPr="004F2665">
        <w:rPr>
          <w:rFonts w:asciiTheme="minorHAnsi" w:hAnsiTheme="minorHAnsi" w:cstheme="minorHAnsi"/>
          <w:lang w:val="en-US"/>
        </w:rPr>
        <w:t xml:space="preserve"> </w:t>
      </w:r>
    </w:p>
  </w:footnote>
  <w:footnote w:id="130">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Ibid., p. 451-455.</w:t>
      </w:r>
    </w:p>
  </w:footnote>
  <w:footnote w:id="131">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Sahakian W. S. History of Philosophy. </w:t>
      </w:r>
      <w:r w:rsidRPr="004F2665">
        <w:rPr>
          <w:rFonts w:asciiTheme="minorHAnsi" w:hAnsiTheme="minorHAnsi" w:cstheme="minorHAnsi"/>
          <w:sz w:val="20"/>
          <w:szCs w:val="20"/>
          <w:lang w:val="en-US" w:bidi="he-IL"/>
        </w:rPr>
        <w:t>–</w:t>
      </w:r>
      <w:r w:rsidRPr="004F2665">
        <w:rPr>
          <w:rFonts w:asciiTheme="minorHAnsi" w:hAnsiTheme="minorHAnsi" w:cstheme="minorHAnsi"/>
          <w:sz w:val="20"/>
          <w:szCs w:val="20"/>
          <w:lang w:val="en-US"/>
        </w:rPr>
        <w:t xml:space="preserve"> New York, NY: Barnes and Noble, 1968. </w:t>
      </w:r>
      <w:r w:rsidRPr="004F2665">
        <w:rPr>
          <w:rFonts w:asciiTheme="minorHAnsi" w:hAnsiTheme="minorHAnsi" w:cstheme="minorHAnsi"/>
          <w:sz w:val="20"/>
          <w:szCs w:val="20"/>
          <w:lang w:val="en-US" w:bidi="he-IL"/>
        </w:rPr>
        <w:t>–</w:t>
      </w:r>
      <w:r w:rsidRPr="004F2665">
        <w:rPr>
          <w:rFonts w:asciiTheme="minorHAnsi" w:hAnsiTheme="minorHAnsi" w:cstheme="minorHAnsi"/>
          <w:sz w:val="20"/>
          <w:szCs w:val="20"/>
          <w:lang w:val="en-US"/>
        </w:rPr>
        <w:t xml:space="preserve"> P. 80-81. </w:t>
      </w:r>
    </w:p>
  </w:footnote>
  <w:footnote w:id="132">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Gross J. The Divination of the Christian According to the Greek Fathers / trans. Onica P. A. – Anaheim, CA: A &amp; C Press, 2002. – P. 73-79. </w:t>
      </w:r>
    </w:p>
  </w:footnote>
  <w:footnote w:id="133">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Philo. Questions and Answers on Exodus, 2.29, </w:t>
      </w:r>
      <w:r w:rsidRPr="004F2665">
        <w:rPr>
          <w:rFonts w:asciiTheme="minorHAnsi" w:hAnsiTheme="minorHAnsi" w:cstheme="minorHAnsi"/>
          <w:sz w:val="20"/>
          <w:szCs w:val="20"/>
          <w:lang w:bidi="he-IL"/>
        </w:rPr>
        <w:t>в</w:t>
      </w:r>
      <w:r w:rsidRPr="004F2665">
        <w:rPr>
          <w:rFonts w:asciiTheme="minorHAnsi" w:hAnsiTheme="minorHAnsi" w:cstheme="minorHAnsi"/>
          <w:sz w:val="20"/>
          <w:szCs w:val="20"/>
          <w:lang w:val="en-US" w:bidi="he-IL"/>
        </w:rPr>
        <w:t xml:space="preserve"> Loeb Classical Library / Ed. T. E. Page / Trans. R. Marcus // Cambridge, MS: Harvard, 1953. – P. 70. </w:t>
      </w:r>
    </w:p>
  </w:footnote>
  <w:footnote w:id="134">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Philo. On Dreams, 1.229, in Yonge C. D. The works of Philo. </w:t>
      </w:r>
      <w:r w:rsidRPr="004F2665">
        <w:rPr>
          <w:rFonts w:asciiTheme="minorHAnsi" w:hAnsiTheme="minorHAnsi" w:cstheme="minorHAnsi"/>
          <w:lang w:val="en-US" w:bidi="he-IL"/>
        </w:rPr>
        <w:t>–</w:t>
      </w:r>
      <w:r w:rsidRPr="004F2665">
        <w:rPr>
          <w:rFonts w:asciiTheme="minorHAnsi" w:hAnsiTheme="minorHAnsi" w:cstheme="minorHAnsi"/>
          <w:lang w:val="en-US"/>
        </w:rPr>
        <w:t xml:space="preserve"> Peabody, MA: Hendrickson, 1995. </w:t>
      </w:r>
      <w:r w:rsidRPr="004F2665">
        <w:rPr>
          <w:rFonts w:asciiTheme="minorHAnsi" w:hAnsiTheme="minorHAnsi" w:cstheme="minorHAnsi"/>
          <w:lang w:val="en-US" w:bidi="he-IL"/>
        </w:rPr>
        <w:t>– P</w:t>
      </w:r>
      <w:r w:rsidRPr="004F2665">
        <w:rPr>
          <w:rFonts w:asciiTheme="minorHAnsi" w:hAnsiTheme="minorHAnsi" w:cstheme="minorHAnsi"/>
          <w:lang w:val="en-US"/>
        </w:rPr>
        <w:t>. 385</w:t>
      </w:r>
      <w:r w:rsidRPr="004F2665">
        <w:rPr>
          <w:rFonts w:asciiTheme="minorHAnsi" w:hAnsiTheme="minorHAnsi" w:cstheme="minorHAnsi"/>
          <w:lang w:val="en-US" w:bidi="he-IL"/>
        </w:rPr>
        <w:t xml:space="preserve">. </w:t>
      </w:r>
    </w:p>
  </w:footnote>
  <w:footnote w:id="135">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Gross, p. 71.</w:t>
      </w:r>
      <w:r w:rsidRPr="004F2665">
        <w:rPr>
          <w:rFonts w:asciiTheme="minorHAnsi" w:hAnsiTheme="minorHAnsi" w:cstheme="minorHAnsi"/>
          <w:lang w:val="en-US"/>
        </w:rPr>
        <w:t xml:space="preserve"> </w:t>
      </w:r>
    </w:p>
  </w:footnote>
  <w:footnote w:id="136">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See Geisler N. L. Christian Apologetics. </w:t>
      </w:r>
      <w:r w:rsidRPr="004F2665">
        <w:rPr>
          <w:rFonts w:asciiTheme="minorHAnsi" w:hAnsiTheme="minorHAnsi" w:cstheme="minorHAnsi"/>
          <w:sz w:val="20"/>
          <w:szCs w:val="20"/>
          <w:lang w:val="en-US" w:bidi="he-IL"/>
        </w:rPr>
        <w:t>–</w:t>
      </w:r>
      <w:r w:rsidRPr="004F2665">
        <w:rPr>
          <w:rFonts w:asciiTheme="minorHAnsi" w:hAnsiTheme="minorHAnsi" w:cstheme="minorHAnsi"/>
          <w:sz w:val="20"/>
          <w:szCs w:val="20"/>
          <w:lang w:val="en-US"/>
        </w:rPr>
        <w:t xml:space="preserve"> Grand Rapids, MI: Baker, 1976. – P. 174-177; Sahakian, p. 81-86; Copleston, p. 463-471; http://en.wikipedia.org/wiki/Neoplatonism </w:t>
      </w:r>
    </w:p>
  </w:footnote>
  <w:footnote w:id="137">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Copleston, p. 481.</w:t>
      </w:r>
      <w:r w:rsidRPr="004F2665">
        <w:rPr>
          <w:rFonts w:asciiTheme="minorHAnsi" w:hAnsiTheme="minorHAnsi" w:cstheme="minorHAnsi"/>
          <w:lang w:val="en-US"/>
        </w:rPr>
        <w:t xml:space="preserve">  </w:t>
      </w:r>
    </w:p>
  </w:footnote>
  <w:footnote w:id="138">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201.</w:t>
      </w:r>
      <w:r w:rsidRPr="004F2665">
        <w:rPr>
          <w:rFonts w:asciiTheme="minorHAnsi" w:hAnsiTheme="minorHAnsi" w:cstheme="minorHAnsi"/>
          <w:sz w:val="20"/>
          <w:szCs w:val="20"/>
          <w:lang w:val="en-US"/>
        </w:rPr>
        <w:t xml:space="preserve"> Author’s translation.</w:t>
      </w:r>
    </w:p>
  </w:footnote>
  <w:footnote w:id="13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Copleston, p. 464.</w:t>
      </w:r>
      <w:r w:rsidRPr="004F2665">
        <w:rPr>
          <w:rFonts w:asciiTheme="minorHAnsi" w:hAnsiTheme="minorHAnsi" w:cstheme="minorHAnsi"/>
          <w:lang w:val="en-US"/>
        </w:rPr>
        <w:t xml:space="preserve"> </w:t>
      </w:r>
    </w:p>
  </w:footnote>
  <w:footnote w:id="140">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Sahakian claims that Plotinus taught that one may speak of attributes in the One (Sahakian, p. 82). </w:t>
      </w:r>
    </w:p>
  </w:footnote>
  <w:footnote w:id="141">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Copleston, p. 479.</w:t>
      </w:r>
      <w:r w:rsidRPr="004F2665">
        <w:rPr>
          <w:rFonts w:asciiTheme="minorHAnsi" w:hAnsiTheme="minorHAnsi" w:cstheme="minorHAnsi"/>
          <w:lang w:val="en-US"/>
        </w:rPr>
        <w:t xml:space="preserve"> </w:t>
      </w:r>
    </w:p>
  </w:footnote>
  <w:footnote w:id="142">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465.</w:t>
      </w:r>
      <w:r w:rsidRPr="004F2665">
        <w:rPr>
          <w:rFonts w:asciiTheme="minorHAnsi" w:hAnsiTheme="minorHAnsi" w:cstheme="minorHAnsi"/>
          <w:lang w:val="en-US"/>
        </w:rPr>
        <w:t xml:space="preserve"> </w:t>
      </w:r>
    </w:p>
  </w:footnote>
  <w:footnote w:id="143">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Bray G. The Doctrine of God. – Downers Grove, IL: Intervarsity Press, 1993. – P. 33. </w:t>
      </w:r>
    </w:p>
  </w:footnote>
  <w:footnote w:id="144">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Copleston, p. 483.</w:t>
      </w:r>
      <w:r w:rsidRPr="004F2665">
        <w:rPr>
          <w:rFonts w:asciiTheme="minorHAnsi" w:hAnsiTheme="minorHAnsi" w:cstheme="minorHAnsi"/>
          <w:lang w:val="en-US"/>
        </w:rPr>
        <w:t xml:space="preserve"> </w:t>
      </w:r>
    </w:p>
  </w:footnote>
  <w:footnote w:id="145">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Sahakian, p. 82. Sahakian</w:t>
      </w:r>
      <w:r w:rsidRPr="004F2665">
        <w:rPr>
          <w:rFonts w:asciiTheme="minorHAnsi" w:hAnsiTheme="minorHAnsi" w:cstheme="minorHAnsi"/>
          <w:lang w:val="en-US" w:bidi="he-IL"/>
        </w:rPr>
        <w:t xml:space="preserve"> underscores several elements in Origen’s teaching which especially correspond to Neoplatonism: (1) the human mind is unable to “encompass or truly comprehend God’s attributes;”</w:t>
      </w:r>
      <w:r>
        <w:rPr>
          <w:rFonts w:asciiTheme="minorHAnsi" w:hAnsiTheme="minorHAnsi" w:cstheme="minorHAnsi"/>
          <w:lang w:val="en-US" w:bidi="he-IL"/>
        </w:rPr>
        <w:t xml:space="preserve"> </w:t>
      </w:r>
      <w:r w:rsidRPr="004F2665">
        <w:rPr>
          <w:rFonts w:asciiTheme="minorHAnsi" w:hAnsiTheme="minorHAnsi" w:cstheme="minorHAnsi"/>
          <w:lang w:val="en-US" w:bidi="he-IL"/>
        </w:rPr>
        <w:t xml:space="preserve">(2) the Godhead is hierarchical – Father above Son above Spirit; (3) God’s “immobility” required that not He, but the Son created the world; (4) all will someday be saved and will participate in God’s essence; (5) salvation includes liberation from matter (Sahakian, p. </w:t>
      </w:r>
      <w:r w:rsidRPr="004F2665">
        <w:rPr>
          <w:rFonts w:asciiTheme="minorHAnsi" w:hAnsiTheme="minorHAnsi" w:cstheme="minorHAnsi"/>
          <w:lang w:val="en-US"/>
        </w:rPr>
        <w:t>87-88</w:t>
      </w:r>
      <w:r w:rsidRPr="004F2665">
        <w:rPr>
          <w:rFonts w:asciiTheme="minorHAnsi" w:hAnsiTheme="minorHAnsi" w:cstheme="minorHAnsi"/>
          <w:lang w:val="en-US" w:bidi="he-IL"/>
        </w:rPr>
        <w:t>).</w:t>
      </w:r>
    </w:p>
  </w:footnote>
  <w:footnote w:id="146">
    <w:p w:rsidR="00E53BD1" w:rsidRPr="004F2665" w:rsidRDefault="00E53BD1" w:rsidP="00E53BD1">
      <w:pPr>
        <w:rPr>
          <w:rFonts w:asciiTheme="minorHAnsi" w:hAnsiTheme="minorHAnsi" w:cstheme="minorHAnsi"/>
          <w:sz w:val="20"/>
          <w:szCs w:val="20"/>
          <w:lang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 xml:space="preserve">Зайцев Е. Учение В. Лосского о Теозисе. – М.: Библейско-богословский институт св. апостола Андрея, 2007. –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xml:space="preserve">. 62. </w:t>
      </w:r>
      <w:r w:rsidRPr="004F2665">
        <w:rPr>
          <w:rFonts w:asciiTheme="minorHAnsi" w:hAnsiTheme="minorHAnsi" w:cstheme="minorHAnsi"/>
          <w:sz w:val="20"/>
          <w:szCs w:val="20"/>
          <w:lang w:val="en-US" w:bidi="he-IL"/>
        </w:rPr>
        <w:t>Author</w:t>
      </w:r>
      <w:r w:rsidRPr="004F2665">
        <w:rPr>
          <w:rFonts w:asciiTheme="minorHAnsi" w:hAnsiTheme="minorHAnsi" w:cstheme="minorHAnsi"/>
          <w:sz w:val="20"/>
          <w:szCs w:val="20"/>
          <w:lang w:bidi="he-IL"/>
        </w:rPr>
        <w:t>’</w:t>
      </w:r>
      <w:r w:rsidRPr="004F2665">
        <w:rPr>
          <w:rFonts w:asciiTheme="minorHAnsi" w:hAnsiTheme="minorHAnsi" w:cstheme="minorHAnsi"/>
          <w:sz w:val="20"/>
          <w:szCs w:val="20"/>
          <w:lang w:val="en-US" w:bidi="he-IL"/>
        </w:rPr>
        <w:t>s</w:t>
      </w:r>
      <w:r w:rsidRPr="004F2665">
        <w:rPr>
          <w:rFonts w:asciiTheme="minorHAnsi" w:hAnsiTheme="minorHAnsi" w:cstheme="minorHAnsi"/>
          <w:sz w:val="20"/>
          <w:szCs w:val="20"/>
          <w:lang w:bidi="he-IL"/>
        </w:rPr>
        <w:t xml:space="preserve"> </w:t>
      </w:r>
      <w:r w:rsidRPr="004F2665">
        <w:rPr>
          <w:rFonts w:asciiTheme="minorHAnsi" w:hAnsiTheme="minorHAnsi" w:cstheme="minorHAnsi"/>
          <w:sz w:val="20"/>
          <w:szCs w:val="20"/>
          <w:lang w:val="en-US" w:bidi="he-IL"/>
        </w:rPr>
        <w:t>translation</w:t>
      </w:r>
      <w:r w:rsidRPr="004F2665">
        <w:rPr>
          <w:rFonts w:asciiTheme="minorHAnsi" w:hAnsiTheme="minorHAnsi" w:cstheme="minorHAnsi"/>
          <w:sz w:val="20"/>
          <w:szCs w:val="20"/>
          <w:lang w:bidi="he-IL"/>
        </w:rPr>
        <w:t>.</w:t>
      </w:r>
    </w:p>
  </w:footnote>
  <w:footnote w:id="147">
    <w:p w:rsidR="00E53BD1" w:rsidRPr="001B3E81"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val="en-US"/>
        </w:rPr>
        <w:t>Sahakian</w:t>
      </w:r>
      <w:r w:rsidRPr="001B3E81">
        <w:rPr>
          <w:rFonts w:asciiTheme="minorHAnsi" w:hAnsiTheme="minorHAnsi" w:cstheme="minorHAnsi"/>
        </w:rPr>
        <w:t xml:space="preserve">, </w:t>
      </w:r>
      <w:r w:rsidRPr="004F2665">
        <w:rPr>
          <w:rFonts w:asciiTheme="minorHAnsi" w:hAnsiTheme="minorHAnsi" w:cstheme="minorHAnsi"/>
          <w:lang w:val="en-US"/>
        </w:rPr>
        <w:t>p</w:t>
      </w:r>
      <w:r w:rsidRPr="001B3E81">
        <w:rPr>
          <w:rFonts w:asciiTheme="minorHAnsi" w:hAnsiTheme="minorHAnsi" w:cstheme="minorHAnsi"/>
        </w:rPr>
        <w:t xml:space="preserve">. 86. </w:t>
      </w:r>
    </w:p>
  </w:footnote>
  <w:footnote w:id="148">
    <w:p w:rsidR="00E53BD1" w:rsidRPr="001B3E81"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val="en-US"/>
        </w:rPr>
        <w:t>Ibid</w:t>
      </w:r>
      <w:r w:rsidRPr="001B3E81">
        <w:rPr>
          <w:rFonts w:asciiTheme="minorHAnsi" w:hAnsiTheme="minorHAnsi" w:cstheme="minorHAnsi"/>
        </w:rPr>
        <w:t xml:space="preserve">., </w:t>
      </w:r>
      <w:r w:rsidRPr="004F2665">
        <w:rPr>
          <w:rFonts w:asciiTheme="minorHAnsi" w:hAnsiTheme="minorHAnsi" w:cstheme="minorHAnsi"/>
          <w:lang w:val="en-US"/>
        </w:rPr>
        <w:t>p</w:t>
      </w:r>
      <w:r w:rsidRPr="001B3E81">
        <w:rPr>
          <w:rFonts w:asciiTheme="minorHAnsi" w:hAnsiTheme="minorHAnsi" w:cstheme="minorHAnsi"/>
        </w:rPr>
        <w:t xml:space="preserve">. 85. </w:t>
      </w:r>
    </w:p>
  </w:footnote>
  <w:footnote w:id="149">
    <w:p w:rsidR="00E53BD1" w:rsidRPr="001B3E81" w:rsidRDefault="00E53BD1" w:rsidP="00E53BD1">
      <w:pPr>
        <w:rPr>
          <w:rFonts w:asciiTheme="minorHAnsi" w:hAnsiTheme="minorHAnsi" w:cstheme="minorHAnsi"/>
          <w:sz w:val="20"/>
          <w:szCs w:val="20"/>
          <w:lang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1B3E81">
        <w:rPr>
          <w:rFonts w:asciiTheme="minorHAnsi" w:hAnsiTheme="minorHAnsi" w:cstheme="minorHAnsi"/>
          <w:sz w:val="20"/>
          <w:szCs w:val="20"/>
          <w:lang w:bidi="he-IL"/>
        </w:rPr>
        <w:t xml:space="preserve">, </w:t>
      </w:r>
      <w:r w:rsidRPr="004F2665">
        <w:rPr>
          <w:rFonts w:asciiTheme="minorHAnsi" w:hAnsiTheme="minorHAnsi" w:cstheme="minorHAnsi"/>
          <w:sz w:val="20"/>
          <w:szCs w:val="20"/>
          <w:lang w:val="en-US" w:bidi="he-IL"/>
        </w:rPr>
        <w:t>p</w:t>
      </w:r>
      <w:r w:rsidRPr="001B3E81">
        <w:rPr>
          <w:rFonts w:asciiTheme="minorHAnsi" w:hAnsiTheme="minorHAnsi" w:cstheme="minorHAnsi"/>
          <w:sz w:val="20"/>
          <w:szCs w:val="20"/>
          <w:lang w:bidi="he-IL"/>
        </w:rPr>
        <w:t>. 21.</w:t>
      </w:r>
      <w:r w:rsidRPr="001B3E81">
        <w:rPr>
          <w:rFonts w:asciiTheme="minorHAnsi" w:hAnsiTheme="minorHAnsi" w:cstheme="minorHAnsi"/>
          <w:sz w:val="20"/>
          <w:szCs w:val="20"/>
        </w:rPr>
        <w:t xml:space="preserve"> </w:t>
      </w:r>
    </w:p>
  </w:footnote>
  <w:footnote w:id="150">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Мейендорф И. Введение в святоотеческое богословие. Минск</w:t>
      </w:r>
      <w:r w:rsidRPr="004F2665">
        <w:rPr>
          <w:rFonts w:asciiTheme="minorHAnsi" w:hAnsiTheme="minorHAnsi" w:cstheme="minorHAnsi"/>
          <w:lang w:val="en-US" w:bidi="he-IL"/>
        </w:rPr>
        <w:t xml:space="preserve">: </w:t>
      </w:r>
      <w:r w:rsidRPr="004F2665">
        <w:rPr>
          <w:rFonts w:asciiTheme="minorHAnsi" w:hAnsiTheme="minorHAnsi" w:cstheme="minorHAnsi"/>
          <w:lang w:bidi="he-IL"/>
        </w:rPr>
        <w:t>Лучи</w:t>
      </w:r>
      <w:r w:rsidRPr="004F2665">
        <w:rPr>
          <w:rFonts w:asciiTheme="minorHAnsi" w:hAnsiTheme="minorHAnsi" w:cstheme="minorHAnsi"/>
          <w:lang w:val="en-US" w:bidi="he-IL"/>
        </w:rPr>
        <w:t xml:space="preserve"> </w:t>
      </w:r>
      <w:r w:rsidRPr="004F2665">
        <w:rPr>
          <w:rFonts w:asciiTheme="minorHAnsi" w:hAnsiTheme="minorHAnsi" w:cstheme="minorHAnsi"/>
          <w:lang w:bidi="he-IL"/>
        </w:rPr>
        <w:t>Софии</w:t>
      </w:r>
      <w:r w:rsidRPr="004F2665">
        <w:rPr>
          <w:rFonts w:asciiTheme="minorHAnsi" w:hAnsiTheme="minorHAnsi" w:cstheme="minorHAnsi"/>
          <w:lang w:val="en-US" w:bidi="he-IL"/>
        </w:rPr>
        <w:t>, 2007. – P. 299-300.</w:t>
      </w:r>
      <w:r w:rsidRPr="004F2665">
        <w:rPr>
          <w:rFonts w:asciiTheme="minorHAnsi" w:hAnsiTheme="minorHAnsi" w:cstheme="minorHAnsi"/>
          <w:lang w:val="en-US"/>
        </w:rPr>
        <w:t xml:space="preserve"> </w:t>
      </w:r>
      <w:r w:rsidRPr="004F2665">
        <w:rPr>
          <w:rFonts w:asciiTheme="minorHAnsi" w:hAnsiTheme="minorHAnsi" w:cstheme="minorHAnsi"/>
          <w:lang w:val="en-US" w:bidi="he-IL"/>
        </w:rPr>
        <w:t>Author’s translation.</w:t>
      </w:r>
    </w:p>
  </w:footnote>
  <w:footnote w:id="151">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308.</w:t>
      </w:r>
      <w:r w:rsidRPr="004F2665">
        <w:rPr>
          <w:rFonts w:asciiTheme="minorHAnsi" w:hAnsiTheme="minorHAnsi" w:cstheme="minorHAnsi"/>
          <w:lang w:val="en-US"/>
        </w:rPr>
        <w:t xml:space="preserve"> </w:t>
      </w:r>
      <w:r w:rsidRPr="004F2665">
        <w:rPr>
          <w:rFonts w:asciiTheme="minorHAnsi" w:hAnsiTheme="minorHAnsi" w:cstheme="minorHAnsi"/>
          <w:lang w:val="en-US" w:bidi="he-IL"/>
        </w:rPr>
        <w:t>Author’s translation.</w:t>
      </w:r>
    </w:p>
  </w:footnote>
  <w:footnote w:id="152">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309-310.</w:t>
      </w:r>
      <w:r w:rsidRPr="004F2665">
        <w:rPr>
          <w:rFonts w:asciiTheme="minorHAnsi" w:hAnsiTheme="minorHAnsi" w:cstheme="minorHAnsi"/>
          <w:lang w:val="en-US"/>
        </w:rPr>
        <w:t xml:space="preserve"> </w:t>
      </w:r>
    </w:p>
  </w:footnote>
  <w:footnote w:id="153">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Burgess S. M. The Holy Spirit: Eastern Christian Traditions. – Peabody, MS: Hendrickson, 1989. – P. 33-34. </w:t>
      </w:r>
    </w:p>
  </w:footnote>
  <w:footnote w:id="154">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4F2665">
        <w:rPr>
          <w:rFonts w:asciiTheme="minorHAnsi" w:hAnsiTheme="minorHAnsi" w:cstheme="minorHAnsi"/>
          <w:lang w:val="en-US"/>
        </w:rPr>
        <w:t>, p. 25. Author’s translation.</w:t>
      </w:r>
    </w:p>
  </w:footnote>
  <w:footnote w:id="155">
    <w:p w:rsidR="00E53BD1" w:rsidRPr="001B3E81"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Ibid</w:t>
      </w:r>
      <w:r w:rsidRPr="001B3E81">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1B3E81">
        <w:rPr>
          <w:rFonts w:asciiTheme="minorHAnsi" w:hAnsiTheme="minorHAnsi" w:cstheme="minorHAnsi"/>
          <w:sz w:val="20"/>
          <w:szCs w:val="20"/>
          <w:lang w:val="en-US" w:bidi="he-IL"/>
        </w:rPr>
        <w:t>. 201.</w:t>
      </w:r>
      <w:r w:rsidRPr="001B3E81">
        <w:rPr>
          <w:rFonts w:asciiTheme="minorHAnsi" w:hAnsiTheme="minorHAnsi" w:cstheme="minorHAnsi"/>
          <w:sz w:val="20"/>
          <w:szCs w:val="20"/>
          <w:lang w:val="en-US"/>
        </w:rPr>
        <w:t xml:space="preserve"> </w:t>
      </w:r>
    </w:p>
  </w:footnote>
  <w:footnote w:id="156">
    <w:p w:rsidR="00E53BD1" w:rsidRPr="004F2665"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bidi="he-IL"/>
        </w:rPr>
        <w:t xml:space="preserve">Слово об обожении // под ред. Архимандрита Никона (Иванова) и Протоиерея Николая Лихоманова. </w:t>
      </w:r>
      <w:r w:rsidRPr="004F2665">
        <w:rPr>
          <w:rFonts w:asciiTheme="minorHAnsi" w:hAnsiTheme="minorHAnsi" w:cstheme="minorHAnsi"/>
        </w:rPr>
        <w:t>–</w:t>
      </w:r>
      <w:r w:rsidRPr="004F2665">
        <w:rPr>
          <w:rFonts w:asciiTheme="minorHAnsi" w:hAnsiTheme="minorHAnsi" w:cstheme="minorHAnsi"/>
          <w:lang w:bidi="he-IL"/>
        </w:rPr>
        <w:t xml:space="preserve"> М.: Си</w:t>
      </w:r>
      <w:r>
        <w:rPr>
          <w:rFonts w:asciiTheme="minorHAnsi" w:hAnsiTheme="minorHAnsi" w:cstheme="minorHAnsi"/>
          <w:lang w:bidi="he-IL"/>
        </w:rPr>
        <w:t xml:space="preserve">бирская Благозвонница, 2004. – </w:t>
      </w:r>
      <w:r>
        <w:rPr>
          <w:rFonts w:asciiTheme="minorHAnsi" w:hAnsiTheme="minorHAnsi" w:cstheme="minorHAnsi"/>
          <w:lang w:val="en-US" w:bidi="he-IL"/>
        </w:rPr>
        <w:t>P</w:t>
      </w:r>
      <w:r w:rsidRPr="004F2665">
        <w:rPr>
          <w:rFonts w:asciiTheme="minorHAnsi" w:hAnsiTheme="minorHAnsi" w:cstheme="minorHAnsi"/>
          <w:lang w:bidi="he-IL"/>
        </w:rPr>
        <w:t>. 14.</w:t>
      </w:r>
      <w:r w:rsidRPr="004F2665">
        <w:rPr>
          <w:rFonts w:asciiTheme="minorHAnsi" w:hAnsiTheme="minorHAnsi" w:cstheme="minorHAnsi"/>
        </w:rPr>
        <w:t xml:space="preserve"> </w:t>
      </w:r>
      <w:r w:rsidRPr="004F2665">
        <w:rPr>
          <w:rFonts w:asciiTheme="minorHAnsi" w:hAnsiTheme="minorHAnsi" w:cstheme="minorHAnsi"/>
          <w:lang w:val="en-US"/>
        </w:rPr>
        <w:t>Author</w:t>
      </w:r>
      <w:r w:rsidRPr="004F2665">
        <w:rPr>
          <w:rFonts w:asciiTheme="minorHAnsi" w:hAnsiTheme="minorHAnsi" w:cstheme="minorHAnsi"/>
        </w:rPr>
        <w:t>’</w:t>
      </w:r>
      <w:r w:rsidRPr="004F2665">
        <w:rPr>
          <w:rFonts w:asciiTheme="minorHAnsi" w:hAnsiTheme="minorHAnsi" w:cstheme="minorHAnsi"/>
          <w:lang w:val="en-US"/>
        </w:rPr>
        <w:t>s</w:t>
      </w:r>
      <w:r w:rsidRPr="004F2665">
        <w:rPr>
          <w:rFonts w:asciiTheme="minorHAnsi" w:hAnsiTheme="minorHAnsi" w:cstheme="minorHAnsi"/>
        </w:rPr>
        <w:t xml:space="preserve"> </w:t>
      </w:r>
      <w:r w:rsidRPr="004F2665">
        <w:rPr>
          <w:rFonts w:asciiTheme="minorHAnsi" w:hAnsiTheme="minorHAnsi" w:cstheme="minorHAnsi"/>
          <w:lang w:val="en-US"/>
        </w:rPr>
        <w:t>translation</w:t>
      </w:r>
      <w:r w:rsidRPr="004F2665">
        <w:rPr>
          <w:rFonts w:asciiTheme="minorHAnsi" w:hAnsiTheme="minorHAnsi" w:cstheme="minorHAnsi"/>
        </w:rPr>
        <w:t>.</w:t>
      </w:r>
    </w:p>
  </w:footnote>
  <w:footnote w:id="157">
    <w:p w:rsidR="00E53BD1" w:rsidRPr="004F2665"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bidi="he-IL"/>
        </w:rPr>
        <w:t xml:space="preserve">Ibid., </w:t>
      </w:r>
      <w:r>
        <w:rPr>
          <w:rFonts w:asciiTheme="minorHAnsi" w:hAnsiTheme="minorHAnsi" w:cstheme="minorHAnsi"/>
          <w:lang w:val="en-US" w:bidi="he-IL"/>
        </w:rPr>
        <w:t>p</w:t>
      </w:r>
      <w:r w:rsidRPr="004F2665">
        <w:rPr>
          <w:rFonts w:asciiTheme="minorHAnsi" w:hAnsiTheme="minorHAnsi" w:cstheme="minorHAnsi"/>
          <w:lang w:bidi="he-IL"/>
        </w:rPr>
        <w:t>. 19.</w:t>
      </w:r>
      <w:r w:rsidRPr="004F2665">
        <w:rPr>
          <w:rFonts w:asciiTheme="minorHAnsi" w:hAnsiTheme="minorHAnsi" w:cstheme="minorHAnsi"/>
        </w:rPr>
        <w:t xml:space="preserve"> </w:t>
      </w:r>
      <w:r w:rsidRPr="004F2665">
        <w:rPr>
          <w:rFonts w:asciiTheme="minorHAnsi" w:hAnsiTheme="minorHAnsi" w:cstheme="minorHAnsi"/>
          <w:lang w:val="en-US"/>
        </w:rPr>
        <w:t>Author</w:t>
      </w:r>
      <w:r w:rsidRPr="004F2665">
        <w:rPr>
          <w:rFonts w:asciiTheme="minorHAnsi" w:hAnsiTheme="minorHAnsi" w:cstheme="minorHAnsi"/>
        </w:rPr>
        <w:t>’</w:t>
      </w:r>
      <w:r w:rsidRPr="004F2665">
        <w:rPr>
          <w:rFonts w:asciiTheme="minorHAnsi" w:hAnsiTheme="minorHAnsi" w:cstheme="minorHAnsi"/>
          <w:lang w:val="en-US"/>
        </w:rPr>
        <w:t>s</w:t>
      </w:r>
      <w:r w:rsidRPr="004F2665">
        <w:rPr>
          <w:rFonts w:asciiTheme="minorHAnsi" w:hAnsiTheme="minorHAnsi" w:cstheme="minorHAnsi"/>
        </w:rPr>
        <w:t xml:space="preserve"> </w:t>
      </w:r>
      <w:r w:rsidRPr="004F2665">
        <w:rPr>
          <w:rFonts w:asciiTheme="minorHAnsi" w:hAnsiTheme="minorHAnsi" w:cstheme="minorHAnsi"/>
          <w:lang w:val="en-US"/>
        </w:rPr>
        <w:t>translation</w:t>
      </w:r>
      <w:r w:rsidRPr="004F2665">
        <w:rPr>
          <w:rFonts w:asciiTheme="minorHAnsi" w:hAnsiTheme="minorHAnsi" w:cstheme="minorHAnsi"/>
        </w:rPr>
        <w:t>.</w:t>
      </w:r>
    </w:p>
  </w:footnote>
  <w:footnote w:id="158">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Кураев А. Протестантам о православии. – 7-е изд. – Ростов-на</w:t>
      </w:r>
      <w:r>
        <w:rPr>
          <w:rFonts w:asciiTheme="minorHAnsi" w:hAnsiTheme="minorHAnsi" w:cstheme="minorHAnsi"/>
        </w:rPr>
        <w:t xml:space="preserve">-Дону: Троицкое Слово, 2003. – </w:t>
      </w:r>
      <w:r>
        <w:rPr>
          <w:rFonts w:asciiTheme="minorHAnsi" w:hAnsiTheme="minorHAnsi" w:cstheme="minorHAnsi"/>
          <w:lang w:val="en-US"/>
        </w:rPr>
        <w:t>P</w:t>
      </w:r>
      <w:r w:rsidRPr="004F2665">
        <w:rPr>
          <w:rFonts w:asciiTheme="minorHAnsi" w:hAnsiTheme="minorHAnsi" w:cstheme="minorHAnsi"/>
        </w:rPr>
        <w:t xml:space="preserve">. 51. </w:t>
      </w:r>
      <w:r w:rsidRPr="004F2665">
        <w:rPr>
          <w:rFonts w:asciiTheme="minorHAnsi" w:hAnsiTheme="minorHAnsi" w:cstheme="minorHAnsi"/>
          <w:lang w:val="en-US"/>
        </w:rPr>
        <w:t>Author’s translation.</w:t>
      </w:r>
    </w:p>
  </w:footnote>
  <w:footnote w:id="15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w:t>
      </w:r>
      <w:r>
        <w:rPr>
          <w:rFonts w:asciiTheme="minorHAnsi" w:hAnsiTheme="minorHAnsi" w:cstheme="minorHAnsi"/>
          <w:lang w:val="en-US"/>
        </w:rPr>
        <w:t>p</w:t>
      </w:r>
      <w:r w:rsidRPr="004F2665">
        <w:rPr>
          <w:rFonts w:asciiTheme="minorHAnsi" w:hAnsiTheme="minorHAnsi" w:cstheme="minorHAnsi"/>
          <w:lang w:val="en-US"/>
        </w:rPr>
        <w:t>. 55. Author’s translation.</w:t>
      </w:r>
    </w:p>
  </w:footnote>
  <w:footnote w:id="160">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w:t>
      </w:r>
      <w:r>
        <w:rPr>
          <w:rFonts w:asciiTheme="minorHAnsi" w:hAnsiTheme="minorHAnsi" w:cstheme="minorHAnsi"/>
          <w:lang w:val="en-US"/>
        </w:rPr>
        <w:t>p</w:t>
      </w:r>
      <w:r w:rsidRPr="004F2665">
        <w:rPr>
          <w:rFonts w:asciiTheme="minorHAnsi" w:hAnsiTheme="minorHAnsi" w:cstheme="minorHAnsi"/>
          <w:lang w:val="en-US"/>
        </w:rPr>
        <w:t>. 72. Author’s translation.</w:t>
      </w:r>
    </w:p>
  </w:footnote>
  <w:footnote w:id="161">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xml:space="preserve">, </w:t>
      </w:r>
      <w:r>
        <w:rPr>
          <w:rFonts w:asciiTheme="minorHAnsi" w:hAnsiTheme="minorHAnsi" w:cstheme="minorHAnsi"/>
          <w:sz w:val="20"/>
          <w:szCs w:val="20"/>
          <w:lang w:val="en-US" w:bidi="he-IL"/>
        </w:rPr>
        <w:t>p</w:t>
      </w:r>
      <w:r w:rsidRPr="004F2665">
        <w:rPr>
          <w:rFonts w:asciiTheme="minorHAnsi" w:hAnsiTheme="minorHAnsi" w:cstheme="minorHAnsi"/>
          <w:sz w:val="20"/>
          <w:szCs w:val="20"/>
          <w:lang w:val="en-US" w:bidi="he-IL"/>
        </w:rPr>
        <w:t>. 203.</w:t>
      </w:r>
      <w:r w:rsidRPr="004F2665">
        <w:rPr>
          <w:rFonts w:asciiTheme="minorHAnsi" w:hAnsiTheme="minorHAnsi" w:cstheme="minorHAnsi"/>
          <w:sz w:val="20"/>
          <w:szCs w:val="20"/>
          <w:lang w:val="en-US"/>
        </w:rPr>
        <w:t xml:space="preserve"> Author’s translation.</w:t>
      </w:r>
    </w:p>
  </w:footnote>
  <w:footnote w:id="162">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xml:space="preserve">, </w:t>
      </w:r>
      <w:r>
        <w:rPr>
          <w:rFonts w:asciiTheme="minorHAnsi" w:hAnsiTheme="minorHAnsi" w:cstheme="minorHAnsi"/>
          <w:sz w:val="20"/>
          <w:szCs w:val="20"/>
          <w:lang w:val="en-US" w:bidi="he-IL"/>
        </w:rPr>
        <w:t>p</w:t>
      </w:r>
      <w:r w:rsidRPr="004F2665">
        <w:rPr>
          <w:rFonts w:asciiTheme="minorHAnsi" w:hAnsiTheme="minorHAnsi" w:cstheme="minorHAnsi"/>
          <w:sz w:val="20"/>
          <w:szCs w:val="20"/>
          <w:lang w:val="en-US" w:bidi="he-IL"/>
        </w:rPr>
        <w:t>. 220-221.</w:t>
      </w:r>
      <w:r w:rsidRPr="004F2665">
        <w:rPr>
          <w:rFonts w:asciiTheme="minorHAnsi" w:hAnsiTheme="minorHAnsi" w:cstheme="minorHAnsi"/>
          <w:sz w:val="20"/>
          <w:szCs w:val="20"/>
          <w:lang w:val="en-US"/>
        </w:rPr>
        <w:t xml:space="preserve"> Author’s translation.</w:t>
      </w:r>
    </w:p>
  </w:footnote>
  <w:footnote w:id="163">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280.</w:t>
      </w:r>
      <w:r w:rsidRPr="004F2665">
        <w:rPr>
          <w:rFonts w:asciiTheme="minorHAnsi" w:hAnsiTheme="minorHAnsi" w:cstheme="minorHAnsi"/>
          <w:sz w:val="20"/>
          <w:szCs w:val="20"/>
          <w:lang w:val="en-US"/>
        </w:rPr>
        <w:t xml:space="preserve"> Author’s translation.</w:t>
      </w:r>
    </w:p>
  </w:footnote>
  <w:footnote w:id="164">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Florovsky G. Byzantine Fathers of the Sixth to Eight Centuries / Trans. Raymond Miller, et al. – Postfach: Buchervertriesansstalt, 1987. – P. 221-222.  </w:t>
      </w:r>
    </w:p>
  </w:footnote>
  <w:footnote w:id="165">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Мейендорф</w:t>
      </w:r>
      <w:r w:rsidRPr="004F2665">
        <w:rPr>
          <w:rFonts w:asciiTheme="minorHAnsi" w:hAnsiTheme="minorHAnsi" w:cstheme="minorHAnsi"/>
          <w:lang w:val="en-US"/>
        </w:rPr>
        <w:t>, p. 304. Author’s translation.</w:t>
      </w:r>
    </w:p>
  </w:footnote>
  <w:footnote w:id="166">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Ibid.</w:t>
      </w:r>
      <w:r w:rsidRPr="00673D96">
        <w:rPr>
          <w:rFonts w:asciiTheme="minorHAnsi" w:hAnsiTheme="minorHAnsi" w:cstheme="minorHAnsi"/>
          <w:lang w:val="en-US"/>
        </w:rPr>
        <w:t xml:space="preserve"> </w:t>
      </w:r>
      <w:r w:rsidRPr="004F2665">
        <w:rPr>
          <w:rFonts w:asciiTheme="minorHAnsi" w:hAnsiTheme="minorHAnsi" w:cstheme="minorHAnsi"/>
          <w:lang w:val="en-US"/>
        </w:rPr>
        <w:t>Author’s translation.</w:t>
      </w:r>
    </w:p>
  </w:footnote>
  <w:footnote w:id="167">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Ibid. Author’s translation.</w:t>
      </w:r>
    </w:p>
  </w:footnote>
  <w:footnote w:id="168">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Pseudo-Dionysius. On the Divine Names, 3.20. The Works of Dionysius the Areopagite / Trans. John Parker. – London: James Parker and Co., 1897. – P. 55-56.</w:t>
      </w:r>
    </w:p>
  </w:footnote>
  <w:footnote w:id="16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Keck D. Angels and Angelology in the Middle Ages. – New York; Oxford: Oxford University Press, 1998. – P. 54, 58. </w:t>
      </w:r>
    </w:p>
  </w:footnote>
  <w:footnote w:id="170">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Burgess, p. 34. </w:t>
      </w:r>
    </w:p>
  </w:footnote>
  <w:footnote w:id="171">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Pseudo-Dionysius. On the Divine Names, 13.2. The Works of Dionysius the Areopagite, p. 123.</w:t>
      </w:r>
    </w:p>
  </w:footnote>
  <w:footnote w:id="172">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4F2665">
        <w:rPr>
          <w:rFonts w:asciiTheme="minorHAnsi" w:hAnsiTheme="minorHAnsi" w:cstheme="minorHAnsi"/>
          <w:lang w:val="en-US"/>
        </w:rPr>
        <w:t>, p. 57. Author’s translation.</w:t>
      </w:r>
    </w:p>
  </w:footnote>
  <w:footnote w:id="173">
    <w:p w:rsidR="00E53BD1" w:rsidRPr="00E755D2"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Ibid</w:t>
      </w:r>
      <w:r w:rsidRPr="00E755D2">
        <w:rPr>
          <w:rFonts w:asciiTheme="minorHAnsi" w:hAnsiTheme="minorHAnsi" w:cstheme="minorHAnsi"/>
          <w:lang w:val="en-US"/>
        </w:rPr>
        <w:t xml:space="preserve">., </w:t>
      </w:r>
      <w:r w:rsidRPr="004F2665">
        <w:rPr>
          <w:rFonts w:asciiTheme="minorHAnsi" w:hAnsiTheme="minorHAnsi" w:cstheme="minorHAnsi"/>
          <w:lang w:val="en-US"/>
        </w:rPr>
        <w:t>p</w:t>
      </w:r>
      <w:r w:rsidRPr="00E755D2">
        <w:rPr>
          <w:rFonts w:asciiTheme="minorHAnsi" w:hAnsiTheme="minorHAnsi" w:cstheme="minorHAnsi"/>
          <w:lang w:val="en-US"/>
        </w:rPr>
        <w:t xml:space="preserve">. 75. </w:t>
      </w:r>
      <w:r w:rsidRPr="004F2665">
        <w:rPr>
          <w:rFonts w:asciiTheme="minorHAnsi" w:hAnsiTheme="minorHAnsi" w:cstheme="minorHAnsi"/>
          <w:lang w:val="en-US"/>
        </w:rPr>
        <w:t>Author’s translation.</w:t>
      </w:r>
    </w:p>
  </w:footnote>
  <w:footnote w:id="174">
    <w:p w:rsidR="00E53BD1" w:rsidRPr="00E94624"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Слово</w:t>
      </w:r>
      <w:r w:rsidRPr="00E94624">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w:t>
      </w:r>
      <w:r w:rsidRPr="00E94624">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обожении</w:t>
      </w:r>
      <w:r w:rsidRPr="00E94624">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E94624">
        <w:rPr>
          <w:rFonts w:asciiTheme="minorHAnsi" w:hAnsiTheme="minorHAnsi" w:cstheme="minorHAnsi"/>
          <w:sz w:val="20"/>
          <w:szCs w:val="20"/>
          <w:lang w:val="en-US" w:bidi="he-IL"/>
        </w:rPr>
        <w:t xml:space="preserve">. 18. </w:t>
      </w:r>
    </w:p>
  </w:footnote>
  <w:footnote w:id="175">
    <w:p w:rsidR="00E53BD1" w:rsidRPr="00E94624"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Bray</w:t>
      </w:r>
      <w:r w:rsidRPr="00E94624">
        <w:rPr>
          <w:rFonts w:asciiTheme="minorHAnsi" w:hAnsiTheme="minorHAnsi" w:cstheme="minorHAnsi"/>
          <w:lang w:val="en-US"/>
        </w:rPr>
        <w:t xml:space="preserve">, </w:t>
      </w:r>
      <w:r w:rsidRPr="004F2665">
        <w:rPr>
          <w:rFonts w:asciiTheme="minorHAnsi" w:hAnsiTheme="minorHAnsi" w:cstheme="minorHAnsi"/>
          <w:lang w:val="en-US"/>
        </w:rPr>
        <w:t>p</w:t>
      </w:r>
      <w:r w:rsidRPr="00E94624">
        <w:rPr>
          <w:rFonts w:asciiTheme="minorHAnsi" w:hAnsiTheme="minorHAnsi" w:cstheme="minorHAnsi"/>
          <w:lang w:val="en-US"/>
        </w:rPr>
        <w:t xml:space="preserve">. 56. </w:t>
      </w:r>
    </w:p>
  </w:footnote>
  <w:footnote w:id="176">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rPr>
        <w:t xml:space="preserve">Bloesch D. G. God the Almighty. – Downers Grove, IL: Intervarsity, 1995. – P. 176. </w:t>
      </w:r>
    </w:p>
  </w:footnote>
  <w:footnote w:id="177">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Noted in </w:t>
      </w:r>
      <w:r w:rsidRPr="004F2665">
        <w:rPr>
          <w:rFonts w:asciiTheme="minorHAnsi" w:hAnsiTheme="minorHAnsi" w:cstheme="minorHAnsi"/>
        </w:rPr>
        <w:t>Лосский</w:t>
      </w:r>
      <w:r w:rsidRPr="004F2665">
        <w:rPr>
          <w:rFonts w:asciiTheme="minorHAnsi" w:hAnsiTheme="minorHAnsi" w:cstheme="minorHAnsi"/>
          <w:lang w:val="en-US"/>
        </w:rPr>
        <w:t>, p. 59. Translation by Google Translator.</w:t>
      </w:r>
    </w:p>
  </w:footnote>
  <w:footnote w:id="178">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Pseudo-Dionysius. On the Divine Names, 13.2. The Works of Dionysius the Areopagite, p. 123. </w:t>
      </w:r>
    </w:p>
  </w:footnote>
  <w:footnote w:id="17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Слово</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w:t>
      </w:r>
      <w:r w:rsidRPr="004F2665">
        <w:rPr>
          <w:rFonts w:asciiTheme="minorHAnsi" w:hAnsiTheme="minorHAnsi" w:cstheme="minorHAnsi"/>
          <w:lang w:val="en-US" w:bidi="he-IL"/>
        </w:rPr>
        <w:t xml:space="preserve"> </w:t>
      </w:r>
      <w:r w:rsidRPr="004F2665">
        <w:rPr>
          <w:rFonts w:asciiTheme="minorHAnsi" w:hAnsiTheme="minorHAnsi" w:cstheme="minorHAnsi"/>
          <w:lang w:bidi="he-IL"/>
        </w:rPr>
        <w:t>обожении</w:t>
      </w:r>
      <w:r w:rsidRPr="004F2665">
        <w:rPr>
          <w:rFonts w:asciiTheme="minorHAnsi" w:hAnsiTheme="minorHAnsi" w:cstheme="minorHAnsi"/>
          <w:lang w:val="en-US" w:bidi="he-IL"/>
        </w:rPr>
        <w:t>, p. 69. Author’s translation.</w:t>
      </w:r>
      <w:r w:rsidRPr="004F2665">
        <w:rPr>
          <w:rFonts w:asciiTheme="minorHAnsi" w:hAnsiTheme="minorHAnsi" w:cstheme="minorHAnsi"/>
          <w:lang w:val="en-US"/>
        </w:rPr>
        <w:t xml:space="preserve">  </w:t>
      </w:r>
    </w:p>
  </w:footnote>
  <w:footnote w:id="180">
    <w:p w:rsidR="00E53BD1" w:rsidRPr="003949CB"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lang w:val="en-US"/>
        </w:rPr>
        <w:t>Florovsky</w:t>
      </w:r>
      <w:r w:rsidRPr="003949CB">
        <w:rPr>
          <w:rFonts w:asciiTheme="minorHAnsi" w:hAnsiTheme="minorHAnsi" w:cstheme="minorHAnsi"/>
        </w:rPr>
        <w:t xml:space="preserve">, </w:t>
      </w:r>
      <w:r w:rsidRPr="004F2665">
        <w:rPr>
          <w:rFonts w:asciiTheme="minorHAnsi" w:hAnsiTheme="minorHAnsi" w:cstheme="minorHAnsi"/>
          <w:lang w:val="en-US"/>
        </w:rPr>
        <w:t>p</w:t>
      </w:r>
      <w:r w:rsidRPr="003949CB">
        <w:rPr>
          <w:rFonts w:asciiTheme="minorHAnsi" w:hAnsiTheme="minorHAnsi" w:cstheme="minorHAnsi"/>
        </w:rPr>
        <w:t xml:space="preserve">. 225. </w:t>
      </w:r>
    </w:p>
  </w:footnote>
  <w:footnote w:id="181">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bidi="he-IL"/>
        </w:rPr>
        <w:t>Слово</w:t>
      </w:r>
      <w:r w:rsidRPr="003949CB">
        <w:rPr>
          <w:rFonts w:asciiTheme="minorHAnsi" w:hAnsiTheme="minorHAnsi" w:cstheme="minorHAnsi"/>
          <w:lang w:bidi="he-IL"/>
        </w:rPr>
        <w:t xml:space="preserve"> </w:t>
      </w:r>
      <w:r w:rsidRPr="004F2665">
        <w:rPr>
          <w:rFonts w:asciiTheme="minorHAnsi" w:hAnsiTheme="minorHAnsi" w:cstheme="minorHAnsi"/>
          <w:lang w:bidi="he-IL"/>
        </w:rPr>
        <w:t>об</w:t>
      </w:r>
      <w:r w:rsidRPr="003949CB">
        <w:rPr>
          <w:rFonts w:asciiTheme="minorHAnsi" w:hAnsiTheme="minorHAnsi" w:cstheme="minorHAnsi"/>
          <w:lang w:bidi="he-IL"/>
        </w:rPr>
        <w:t xml:space="preserve"> </w:t>
      </w:r>
      <w:r w:rsidRPr="004F2665">
        <w:rPr>
          <w:rFonts w:asciiTheme="minorHAnsi" w:hAnsiTheme="minorHAnsi" w:cstheme="minorHAnsi"/>
          <w:lang w:bidi="he-IL"/>
        </w:rPr>
        <w:t>обожении</w:t>
      </w:r>
      <w:r w:rsidRPr="003949CB">
        <w:rPr>
          <w:rFonts w:asciiTheme="minorHAnsi" w:hAnsiTheme="minorHAnsi" w:cstheme="minorHAnsi"/>
          <w:lang w:bidi="he-IL"/>
        </w:rPr>
        <w:t xml:space="preserve">, </w:t>
      </w:r>
      <w:r w:rsidRPr="004F2665">
        <w:rPr>
          <w:rFonts w:asciiTheme="minorHAnsi" w:hAnsiTheme="minorHAnsi" w:cstheme="minorHAnsi"/>
          <w:lang w:val="en-US" w:bidi="he-IL"/>
        </w:rPr>
        <w:t>p</w:t>
      </w:r>
      <w:r w:rsidRPr="003949CB">
        <w:rPr>
          <w:rFonts w:asciiTheme="minorHAnsi" w:hAnsiTheme="minorHAnsi" w:cstheme="minorHAnsi"/>
          <w:lang w:bidi="he-IL"/>
        </w:rPr>
        <w:t xml:space="preserve">. 69. </w:t>
      </w:r>
      <w:r w:rsidRPr="004F2665">
        <w:rPr>
          <w:rFonts w:asciiTheme="minorHAnsi" w:hAnsiTheme="minorHAnsi" w:cstheme="minorHAnsi"/>
          <w:lang w:val="en-US" w:bidi="he-IL"/>
        </w:rPr>
        <w:t>Author’s translation.</w:t>
      </w:r>
      <w:r w:rsidRPr="004F2665">
        <w:rPr>
          <w:rFonts w:asciiTheme="minorHAnsi" w:hAnsiTheme="minorHAnsi" w:cstheme="minorHAnsi"/>
          <w:lang w:val="en-US"/>
        </w:rPr>
        <w:t xml:space="preserve"> </w:t>
      </w:r>
    </w:p>
  </w:footnote>
  <w:footnote w:id="182">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70. Author’s translation.</w:t>
      </w:r>
    </w:p>
  </w:footnote>
  <w:footnote w:id="183">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The position of Maximus the Confessor, as represented by Florovsky, p. 244-245.</w:t>
      </w:r>
      <w:r w:rsidRPr="004F2665">
        <w:rPr>
          <w:rFonts w:asciiTheme="minorHAnsi" w:hAnsiTheme="minorHAnsi" w:cstheme="minorHAnsi"/>
          <w:lang w:val="en-US"/>
        </w:rPr>
        <w:t xml:space="preserve"> </w:t>
      </w:r>
    </w:p>
  </w:footnote>
  <w:footnote w:id="184">
    <w:p w:rsidR="00E53BD1" w:rsidRPr="004F2665"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rPr>
        <w:t xml:space="preserve">Лосский, </w:t>
      </w:r>
      <w:r w:rsidRPr="004F2665">
        <w:rPr>
          <w:rFonts w:asciiTheme="minorHAnsi" w:hAnsiTheme="minorHAnsi" w:cstheme="minorHAnsi"/>
          <w:lang w:val="en-US"/>
        </w:rPr>
        <w:t>p</w:t>
      </w:r>
      <w:r w:rsidRPr="004F2665">
        <w:rPr>
          <w:rFonts w:asciiTheme="minorHAnsi" w:hAnsiTheme="minorHAnsi" w:cstheme="minorHAnsi"/>
        </w:rPr>
        <w:t xml:space="preserve">. 94. </w:t>
      </w:r>
      <w:r w:rsidRPr="004F2665">
        <w:rPr>
          <w:rFonts w:asciiTheme="minorHAnsi" w:hAnsiTheme="minorHAnsi" w:cstheme="minorHAnsi"/>
          <w:lang w:val="en-US" w:bidi="he-IL"/>
        </w:rPr>
        <w:t>Author</w:t>
      </w:r>
      <w:r w:rsidRPr="004F2665">
        <w:rPr>
          <w:rFonts w:asciiTheme="minorHAnsi" w:hAnsiTheme="minorHAnsi" w:cstheme="minorHAnsi"/>
          <w:lang w:bidi="he-IL"/>
        </w:rPr>
        <w:t>’</w:t>
      </w:r>
      <w:r w:rsidRPr="004F2665">
        <w:rPr>
          <w:rFonts w:asciiTheme="minorHAnsi" w:hAnsiTheme="minorHAnsi" w:cstheme="minorHAnsi"/>
          <w:lang w:val="en-US" w:bidi="he-IL"/>
        </w:rPr>
        <w:t>s</w:t>
      </w:r>
      <w:r w:rsidRPr="004F2665">
        <w:rPr>
          <w:rFonts w:asciiTheme="minorHAnsi" w:hAnsiTheme="minorHAnsi" w:cstheme="minorHAnsi"/>
          <w:lang w:bidi="he-IL"/>
        </w:rPr>
        <w:t xml:space="preserve"> </w:t>
      </w:r>
      <w:r w:rsidRPr="004F2665">
        <w:rPr>
          <w:rFonts w:asciiTheme="minorHAnsi" w:hAnsiTheme="minorHAnsi" w:cstheme="minorHAnsi"/>
          <w:lang w:val="en-US" w:bidi="he-IL"/>
        </w:rPr>
        <w:t>translation</w:t>
      </w:r>
      <w:r w:rsidRPr="004F2665">
        <w:rPr>
          <w:rFonts w:asciiTheme="minorHAnsi" w:hAnsiTheme="minorHAnsi" w:cstheme="minorHAnsi"/>
          <w:lang w:bidi="he-IL"/>
        </w:rPr>
        <w:t>.</w:t>
      </w:r>
    </w:p>
  </w:footnote>
  <w:footnote w:id="185">
    <w:p w:rsidR="00E53BD1" w:rsidRPr="004F2665" w:rsidRDefault="00E53BD1" w:rsidP="00E53BD1">
      <w:pPr>
        <w:pStyle w:val="FootnoteText"/>
        <w:rPr>
          <w:rFonts w:asciiTheme="minorHAnsi" w:hAnsiTheme="minorHAnsi" w:cstheme="minorHAnsi"/>
        </w:rPr>
      </w:pPr>
      <w:r w:rsidRPr="004F2665">
        <w:rPr>
          <w:rStyle w:val="FootnoteReference"/>
          <w:rFonts w:asciiTheme="minorHAnsi" w:hAnsiTheme="minorHAnsi" w:cstheme="minorHAnsi"/>
        </w:rPr>
        <w:footnoteRef/>
      </w:r>
      <w:r w:rsidRPr="004F2665">
        <w:rPr>
          <w:rFonts w:asciiTheme="minorHAnsi" w:hAnsiTheme="minorHAnsi" w:cstheme="minorHAnsi"/>
        </w:rPr>
        <w:t xml:space="preserve">Слово об обожении, </w:t>
      </w:r>
      <w:r w:rsidRPr="004F2665">
        <w:rPr>
          <w:rFonts w:asciiTheme="minorHAnsi" w:hAnsiTheme="minorHAnsi" w:cstheme="minorHAnsi"/>
          <w:lang w:val="en-US"/>
        </w:rPr>
        <w:t>p</w:t>
      </w:r>
      <w:r w:rsidRPr="004F2665">
        <w:rPr>
          <w:rFonts w:asciiTheme="minorHAnsi" w:hAnsiTheme="minorHAnsi" w:cstheme="minorHAnsi"/>
        </w:rPr>
        <w:t xml:space="preserve">. 69. </w:t>
      </w:r>
    </w:p>
  </w:footnote>
  <w:footnote w:id="186">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Мейендорф</w:t>
      </w:r>
      <w:r w:rsidRPr="003949CB">
        <w:rPr>
          <w:rFonts w:asciiTheme="minorHAnsi" w:hAnsiTheme="minorHAnsi" w:cstheme="minorHAnsi"/>
        </w:rPr>
        <w:t xml:space="preserve">, </w:t>
      </w:r>
      <w:r w:rsidRPr="004F2665">
        <w:rPr>
          <w:rFonts w:asciiTheme="minorHAnsi" w:hAnsiTheme="minorHAnsi" w:cstheme="minorHAnsi"/>
          <w:lang w:val="en-US"/>
        </w:rPr>
        <w:t>p</w:t>
      </w:r>
      <w:r w:rsidRPr="003949CB">
        <w:rPr>
          <w:rFonts w:asciiTheme="minorHAnsi" w:hAnsiTheme="minorHAnsi" w:cstheme="minorHAnsi"/>
        </w:rPr>
        <w:t xml:space="preserve">. 301. </w:t>
      </w:r>
      <w:r w:rsidRPr="004F2665">
        <w:rPr>
          <w:rFonts w:asciiTheme="minorHAnsi" w:hAnsiTheme="minorHAnsi" w:cstheme="minorHAnsi"/>
          <w:lang w:val="en-US" w:bidi="he-IL"/>
        </w:rPr>
        <w:t xml:space="preserve">Author’s translation. </w:t>
      </w:r>
    </w:p>
  </w:footnote>
  <w:footnote w:id="187">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4F2665">
        <w:rPr>
          <w:rFonts w:asciiTheme="minorHAnsi" w:hAnsiTheme="minorHAnsi" w:cstheme="minorHAnsi"/>
          <w:sz w:val="20"/>
          <w:szCs w:val="20"/>
          <w:lang w:val="en-US" w:bidi="he-IL"/>
        </w:rPr>
        <w:t>, p. 204-205. Yet, Lossky stres</w:t>
      </w:r>
      <w:r w:rsidR="002E353F">
        <w:rPr>
          <w:rFonts w:asciiTheme="minorHAnsi" w:hAnsiTheme="minorHAnsi" w:cstheme="minorHAnsi"/>
          <w:sz w:val="20"/>
          <w:szCs w:val="20"/>
          <w:lang w:val="en-US" w:bidi="he-IL"/>
        </w:rPr>
        <w:t>s</w:t>
      </w:r>
      <w:r w:rsidRPr="004F2665">
        <w:rPr>
          <w:rFonts w:asciiTheme="minorHAnsi" w:hAnsiTheme="minorHAnsi" w:cstheme="minorHAnsi"/>
          <w:sz w:val="20"/>
          <w:szCs w:val="20"/>
          <w:lang w:val="en-US" w:bidi="he-IL"/>
        </w:rPr>
        <w:t>es that unlike Orthodox Faith, in Neoplatonism and Hinduism God is impersonal</w:t>
      </w:r>
      <w:r w:rsidRPr="004F2665">
        <w:rPr>
          <w:rFonts w:asciiTheme="minorHAnsi" w:hAnsiTheme="minorHAnsi" w:cstheme="minorHAnsi"/>
          <w:sz w:val="20"/>
          <w:szCs w:val="20"/>
          <w:lang w:val="en-US"/>
        </w:rPr>
        <w:t xml:space="preserve">. </w:t>
      </w:r>
    </w:p>
  </w:footnote>
  <w:footnote w:id="188">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4F2665">
        <w:rPr>
          <w:rFonts w:asciiTheme="minorHAnsi" w:hAnsiTheme="minorHAnsi" w:cstheme="minorHAnsi"/>
          <w:sz w:val="20"/>
          <w:szCs w:val="20"/>
          <w:lang w:val="en-US" w:bidi="he-IL"/>
        </w:rPr>
        <w:t>, p. 214. Author’s translation.</w:t>
      </w:r>
    </w:p>
  </w:footnote>
  <w:footnote w:id="18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18.</w:t>
      </w:r>
      <w:r w:rsidRPr="004F2665">
        <w:rPr>
          <w:rFonts w:asciiTheme="minorHAnsi" w:hAnsiTheme="minorHAnsi" w:cstheme="minorHAnsi"/>
          <w:lang w:val="en-US"/>
        </w:rPr>
        <w:t xml:space="preserve"> </w:t>
      </w:r>
      <w:r w:rsidRPr="004F2665">
        <w:rPr>
          <w:rFonts w:asciiTheme="minorHAnsi" w:hAnsiTheme="minorHAnsi" w:cstheme="minorHAnsi"/>
          <w:lang w:val="en-US" w:bidi="he-IL"/>
        </w:rPr>
        <w:t>Author’s translation.</w:t>
      </w:r>
    </w:p>
  </w:footnote>
  <w:footnote w:id="190">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4F2665">
        <w:rPr>
          <w:rFonts w:asciiTheme="minorHAnsi" w:hAnsiTheme="minorHAnsi" w:cstheme="minorHAnsi"/>
          <w:lang w:val="en-US"/>
        </w:rPr>
        <w:t>, p. 57. Translation from Google translator.</w:t>
      </w:r>
    </w:p>
  </w:footnote>
  <w:footnote w:id="191">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Ibid., p. 221-222. Yet, the teaching of Pseudo-Dionysius differs from Neoplatonism in that the former taught that God, in His energies, expresses Himself, while in Neoplatonism, the “Nous” and the “World Soul,” being only emanations, are lower in quality than the One (</w:t>
      </w:r>
      <w:r w:rsidRPr="004F2665">
        <w:rPr>
          <w:rFonts w:asciiTheme="minorHAnsi" w:hAnsiTheme="minorHAnsi" w:cstheme="minorHAnsi"/>
          <w:sz w:val="20"/>
          <w:szCs w:val="20"/>
          <w:lang w:bidi="he-IL"/>
        </w:rPr>
        <w:t>Мейендорф</w:t>
      </w:r>
      <w:r w:rsidRPr="004F2665">
        <w:rPr>
          <w:rFonts w:asciiTheme="minorHAnsi" w:hAnsiTheme="minorHAnsi" w:cstheme="minorHAnsi"/>
          <w:sz w:val="20"/>
          <w:szCs w:val="20"/>
          <w:lang w:val="en-US" w:bidi="he-IL"/>
        </w:rPr>
        <w:t>, p. 302).</w:t>
      </w:r>
      <w:r w:rsidRPr="004F2665">
        <w:rPr>
          <w:rFonts w:asciiTheme="minorHAnsi" w:hAnsiTheme="minorHAnsi" w:cstheme="minorHAnsi"/>
          <w:sz w:val="20"/>
          <w:szCs w:val="20"/>
          <w:lang w:val="en-US"/>
        </w:rPr>
        <w:t xml:space="preserve"> </w:t>
      </w:r>
    </w:p>
  </w:footnote>
  <w:footnote w:id="192">
    <w:p w:rsidR="00E53BD1" w:rsidRPr="00E94624"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Florovsky</w:t>
      </w:r>
      <w:r w:rsidRPr="00E94624">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E94624">
        <w:rPr>
          <w:rFonts w:asciiTheme="minorHAnsi" w:hAnsiTheme="minorHAnsi" w:cstheme="minorHAnsi"/>
          <w:sz w:val="20"/>
          <w:szCs w:val="20"/>
          <w:lang w:val="en-US" w:bidi="he-IL"/>
        </w:rPr>
        <w:t xml:space="preserve">. 243. </w:t>
      </w:r>
    </w:p>
  </w:footnote>
  <w:footnote w:id="193">
    <w:p w:rsidR="00E53BD1" w:rsidRPr="00E94624"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Зайцев</w:t>
      </w:r>
      <w:r w:rsidRPr="00E94624">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E94624">
        <w:rPr>
          <w:rFonts w:asciiTheme="minorHAnsi" w:hAnsiTheme="minorHAnsi" w:cstheme="minorHAnsi"/>
          <w:sz w:val="20"/>
          <w:szCs w:val="20"/>
          <w:lang w:val="en-US" w:bidi="he-IL"/>
        </w:rPr>
        <w:t xml:space="preserve">. 55. </w:t>
      </w:r>
      <w:r w:rsidRPr="004F2665">
        <w:rPr>
          <w:rFonts w:asciiTheme="minorHAnsi" w:hAnsiTheme="minorHAnsi" w:cstheme="minorHAnsi"/>
          <w:sz w:val="20"/>
          <w:szCs w:val="20"/>
          <w:lang w:val="en-US" w:bidi="he-IL"/>
        </w:rPr>
        <w:t>Author’s translation.</w:t>
      </w:r>
    </w:p>
  </w:footnote>
  <w:footnote w:id="194">
    <w:p w:rsidR="00E53BD1" w:rsidRPr="003949CB"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Слово</w:t>
      </w:r>
      <w:r w:rsidRPr="003949CB">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w:t>
      </w:r>
      <w:r w:rsidRPr="003949CB">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обожении</w:t>
      </w:r>
      <w:r w:rsidRPr="003949CB">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3949CB">
        <w:rPr>
          <w:rFonts w:asciiTheme="minorHAnsi" w:hAnsiTheme="minorHAnsi" w:cstheme="minorHAnsi"/>
          <w:sz w:val="20"/>
          <w:szCs w:val="20"/>
          <w:lang w:val="en-US" w:bidi="he-IL"/>
        </w:rPr>
        <w:t xml:space="preserve">. 19. </w:t>
      </w:r>
      <w:r w:rsidRPr="004F2665">
        <w:rPr>
          <w:rFonts w:asciiTheme="minorHAnsi" w:hAnsiTheme="minorHAnsi" w:cstheme="minorHAnsi"/>
          <w:sz w:val="20"/>
          <w:szCs w:val="20"/>
          <w:lang w:val="en-US" w:bidi="he-IL"/>
        </w:rPr>
        <w:t>Author</w:t>
      </w:r>
      <w:r w:rsidRPr="003949CB">
        <w:rPr>
          <w:rFonts w:asciiTheme="minorHAnsi" w:hAnsiTheme="minorHAnsi" w:cstheme="minorHAnsi"/>
          <w:sz w:val="20"/>
          <w:szCs w:val="20"/>
          <w:lang w:val="en-US" w:bidi="he-IL"/>
        </w:rPr>
        <w:t>’</w:t>
      </w:r>
      <w:r w:rsidRPr="004F2665">
        <w:rPr>
          <w:rFonts w:asciiTheme="minorHAnsi" w:hAnsiTheme="minorHAnsi" w:cstheme="minorHAnsi"/>
          <w:sz w:val="20"/>
          <w:szCs w:val="20"/>
          <w:lang w:val="en-US" w:bidi="he-IL"/>
        </w:rPr>
        <w:t>s</w:t>
      </w:r>
      <w:r w:rsidRPr="003949CB">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translation</w:t>
      </w:r>
      <w:r w:rsidRPr="003949CB">
        <w:rPr>
          <w:rFonts w:asciiTheme="minorHAnsi" w:hAnsiTheme="minorHAnsi" w:cstheme="minorHAnsi"/>
          <w:sz w:val="20"/>
          <w:szCs w:val="20"/>
          <w:lang w:val="en-US" w:bidi="he-IL"/>
        </w:rPr>
        <w:t>.</w:t>
      </w:r>
    </w:p>
  </w:footnote>
  <w:footnote w:id="195">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Лосский</w:t>
      </w:r>
      <w:r w:rsidRPr="003949CB">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val="en-US" w:bidi="he-IL"/>
        </w:rPr>
        <w:t>p</w:t>
      </w:r>
      <w:r w:rsidRPr="003949CB">
        <w:rPr>
          <w:rFonts w:asciiTheme="minorHAnsi" w:hAnsiTheme="minorHAnsi" w:cstheme="minorHAnsi"/>
          <w:sz w:val="20"/>
          <w:szCs w:val="20"/>
          <w:lang w:val="en-US" w:bidi="he-IL"/>
        </w:rPr>
        <w:t>. 59.</w:t>
      </w:r>
      <w:r w:rsidRPr="003949CB">
        <w:rPr>
          <w:rFonts w:asciiTheme="minorHAnsi" w:hAnsiTheme="minorHAnsi" w:cstheme="minorHAnsi"/>
          <w:sz w:val="20"/>
          <w:szCs w:val="20"/>
          <w:lang w:val="en-US"/>
        </w:rPr>
        <w:t xml:space="preserve"> </w:t>
      </w:r>
      <w:r w:rsidRPr="004F2665">
        <w:rPr>
          <w:rFonts w:asciiTheme="minorHAnsi" w:hAnsiTheme="minorHAnsi" w:cstheme="minorHAnsi"/>
          <w:sz w:val="20"/>
          <w:szCs w:val="20"/>
          <w:lang w:val="en-US" w:bidi="he-IL"/>
        </w:rPr>
        <w:t xml:space="preserve">Author’s translation. </w:t>
      </w:r>
    </w:p>
  </w:footnote>
  <w:footnote w:id="196">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Слово</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w:t>
      </w:r>
      <w:r w:rsidRPr="004F2665">
        <w:rPr>
          <w:rFonts w:asciiTheme="minorHAnsi" w:hAnsiTheme="minorHAnsi" w:cstheme="minorHAnsi"/>
          <w:sz w:val="20"/>
          <w:szCs w:val="20"/>
          <w:lang w:val="en-US" w:bidi="he-IL"/>
        </w:rPr>
        <w:t xml:space="preserve"> </w:t>
      </w:r>
      <w:r w:rsidRPr="004F2665">
        <w:rPr>
          <w:rFonts w:asciiTheme="minorHAnsi" w:hAnsiTheme="minorHAnsi" w:cstheme="minorHAnsi"/>
          <w:sz w:val="20"/>
          <w:szCs w:val="20"/>
          <w:lang w:bidi="he-IL"/>
        </w:rPr>
        <w:t>обожении</w:t>
      </w:r>
      <w:r w:rsidRPr="004F2665">
        <w:rPr>
          <w:rFonts w:asciiTheme="minorHAnsi" w:hAnsiTheme="minorHAnsi" w:cstheme="minorHAnsi"/>
          <w:sz w:val="20"/>
          <w:szCs w:val="20"/>
          <w:lang w:val="en-US" w:bidi="he-IL"/>
        </w:rPr>
        <w:t xml:space="preserve">, p. 69. Author’s translation. </w:t>
      </w:r>
    </w:p>
  </w:footnote>
  <w:footnote w:id="197">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Ibid., p. 12. Translation from Google translator.  </w:t>
      </w:r>
    </w:p>
  </w:footnote>
  <w:footnote w:id="198">
    <w:p w:rsidR="00E53BD1" w:rsidRPr="004F2665" w:rsidRDefault="00E53BD1" w:rsidP="00E53BD1">
      <w:pPr>
        <w:rPr>
          <w:rFonts w:asciiTheme="minorHAnsi" w:hAnsiTheme="minorHAnsi" w:cstheme="minorHAnsi"/>
          <w:sz w:val="20"/>
          <w:szCs w:val="20"/>
          <w:lang w:val="en-US" w:bidi="he-IL"/>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val="en-US" w:bidi="he-IL"/>
        </w:rPr>
        <w:t xml:space="preserve">Florovsky, p. 224. </w:t>
      </w:r>
    </w:p>
  </w:footnote>
  <w:footnote w:id="199">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i/>
          <w:iCs/>
          <w:lang w:val="en-US"/>
        </w:rPr>
        <w:t>Ambiguities</w:t>
      </w:r>
      <w:r w:rsidRPr="004F2665">
        <w:rPr>
          <w:rFonts w:asciiTheme="minorHAnsi" w:hAnsiTheme="minorHAnsi" w:cstheme="minorHAnsi"/>
          <w:lang w:val="en-US"/>
        </w:rPr>
        <w:t>,</w:t>
      </w:r>
      <w:r w:rsidRPr="004F2665">
        <w:rPr>
          <w:rFonts w:asciiTheme="minorHAnsi" w:hAnsiTheme="minorHAnsi" w:cstheme="minorHAnsi"/>
          <w:lang w:val="en-US" w:bidi="he-IL"/>
        </w:rPr>
        <w:t xml:space="preserve"> 7, taken from</w:t>
      </w:r>
      <w:r w:rsidRPr="004F2665">
        <w:rPr>
          <w:rFonts w:asciiTheme="minorHAnsi" w:hAnsiTheme="minorHAnsi" w:cstheme="minorHAnsi"/>
          <w:lang w:val="en-US"/>
        </w:rPr>
        <w:t xml:space="preserve"> Vishnevskaya T. Divinization as Perichoretic Embrace in Maximus the Confessor // Christensen M. J., Wittung J. A. Partakers of the Divine Nature: The History and Development of Deification in the Christian Traditions. – Madison: Fairleigh Dickson University Press, 2007. – P. 140. </w:t>
      </w:r>
    </w:p>
  </w:footnote>
  <w:footnote w:id="200">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3F0258">
        <w:rPr>
          <w:rFonts w:asciiTheme="minorHAnsi" w:hAnsiTheme="minorHAnsi" w:cstheme="minorHAnsi"/>
          <w:i/>
          <w:iCs/>
          <w:sz w:val="20"/>
          <w:szCs w:val="20"/>
          <w:lang w:val="en-US" w:bidi="he-IL"/>
        </w:rPr>
        <w:t>Treasury of Divine Knowledge</w:t>
      </w:r>
      <w:r w:rsidRPr="004F2665">
        <w:rPr>
          <w:rFonts w:asciiTheme="minorHAnsi" w:hAnsiTheme="minorHAnsi" w:cstheme="minorHAnsi"/>
          <w:sz w:val="20"/>
          <w:szCs w:val="20"/>
          <w:lang w:val="en-US" w:bidi="he-IL"/>
        </w:rPr>
        <w:t xml:space="preserve"> (</w:t>
      </w:r>
      <w:r>
        <w:rPr>
          <w:rFonts w:asciiTheme="minorHAnsi" w:hAnsiTheme="minorHAnsi" w:cstheme="minorHAnsi"/>
          <w:sz w:val="20"/>
          <w:szCs w:val="20"/>
          <w:lang w:val="en-US" w:bidi="he-IL"/>
        </w:rPr>
        <w:t xml:space="preserve">in </w:t>
      </w:r>
      <w:r w:rsidRPr="004F2665">
        <w:rPr>
          <w:rFonts w:asciiTheme="minorHAnsi" w:hAnsiTheme="minorHAnsi" w:cstheme="minorHAnsi"/>
          <w:i/>
          <w:iCs/>
          <w:sz w:val="20"/>
          <w:szCs w:val="20"/>
          <w:lang w:val="en-US" w:bidi="he-IL"/>
        </w:rPr>
        <w:t>Philokalia</w:t>
      </w:r>
      <w:r w:rsidRPr="004F2665">
        <w:rPr>
          <w:rFonts w:asciiTheme="minorHAnsi" w:hAnsiTheme="minorHAnsi" w:cstheme="minorHAnsi"/>
          <w:sz w:val="20"/>
          <w:szCs w:val="20"/>
          <w:lang w:val="en-US" w:bidi="he-IL"/>
        </w:rPr>
        <w:t>, 3.93), noted in Clendenin D. Eastern Orthodox Christianity. – Grand Rapids, MI: Baker, 1994. – P. 137.</w:t>
      </w:r>
      <w:r w:rsidRPr="004F2665">
        <w:rPr>
          <w:rFonts w:asciiTheme="minorHAnsi" w:hAnsiTheme="minorHAnsi" w:cstheme="minorHAnsi"/>
          <w:sz w:val="20"/>
          <w:szCs w:val="20"/>
          <w:lang w:val="en-US"/>
        </w:rPr>
        <w:t xml:space="preserve"> </w:t>
      </w:r>
    </w:p>
  </w:footnote>
  <w:footnote w:id="201">
    <w:p w:rsidR="00E53BD1" w:rsidRPr="004F2665" w:rsidRDefault="00E53BD1" w:rsidP="00E53BD1">
      <w:pPr>
        <w:rPr>
          <w:rFonts w:asciiTheme="minorHAnsi" w:hAnsiTheme="minorHAnsi" w:cstheme="minorHAnsi"/>
          <w:sz w:val="20"/>
          <w:szCs w:val="20"/>
          <w:lang w:val="en-US"/>
        </w:rPr>
      </w:pPr>
      <w:r w:rsidRPr="004F2665">
        <w:rPr>
          <w:rStyle w:val="FootnoteReference"/>
          <w:rFonts w:asciiTheme="minorHAnsi" w:hAnsiTheme="minorHAnsi" w:cstheme="minorHAnsi"/>
          <w:szCs w:val="20"/>
        </w:rPr>
        <w:footnoteRef/>
      </w:r>
      <w:r w:rsidRPr="00675EA6">
        <w:rPr>
          <w:rFonts w:asciiTheme="minorHAnsi" w:hAnsiTheme="minorHAnsi" w:cstheme="minorHAnsi"/>
          <w:i/>
          <w:iCs/>
          <w:sz w:val="20"/>
          <w:szCs w:val="20"/>
          <w:lang w:val="en-US" w:bidi="he-IL"/>
        </w:rPr>
        <w:t>Various Texts on Theology</w:t>
      </w:r>
      <w:r>
        <w:rPr>
          <w:rFonts w:asciiTheme="minorHAnsi" w:hAnsiTheme="minorHAnsi" w:cstheme="minorHAnsi"/>
          <w:sz w:val="20"/>
          <w:szCs w:val="20"/>
          <w:lang w:val="en-US" w:bidi="he-IL"/>
        </w:rPr>
        <w:t>,</w:t>
      </w:r>
      <w:r w:rsidRPr="004F2665">
        <w:rPr>
          <w:rFonts w:asciiTheme="minorHAnsi" w:hAnsiTheme="minorHAnsi" w:cstheme="minorHAnsi"/>
          <w:sz w:val="20"/>
          <w:szCs w:val="20"/>
          <w:lang w:val="en-US" w:bidi="he-IL"/>
        </w:rPr>
        <w:t xml:space="preserve"> 1:27-32 </w:t>
      </w:r>
      <w:r>
        <w:rPr>
          <w:rFonts w:asciiTheme="minorHAnsi" w:hAnsiTheme="minorHAnsi" w:cstheme="minorHAnsi"/>
          <w:sz w:val="20"/>
          <w:szCs w:val="20"/>
          <w:lang w:val="en-US" w:bidi="he-IL"/>
        </w:rPr>
        <w:t xml:space="preserve">(in </w:t>
      </w:r>
      <w:r w:rsidRPr="00675EA6">
        <w:rPr>
          <w:rFonts w:asciiTheme="minorHAnsi" w:hAnsiTheme="minorHAnsi" w:cstheme="minorHAnsi"/>
          <w:i/>
          <w:iCs/>
          <w:sz w:val="20"/>
          <w:szCs w:val="20"/>
          <w:lang w:val="en-US" w:bidi="he-IL"/>
        </w:rPr>
        <w:t>Philokalia</w:t>
      </w:r>
      <w:r w:rsidRPr="004F2665">
        <w:rPr>
          <w:rFonts w:asciiTheme="minorHAnsi" w:hAnsiTheme="minorHAnsi" w:cstheme="minorHAnsi"/>
          <w:sz w:val="20"/>
          <w:szCs w:val="20"/>
          <w:lang w:val="en-US" w:bidi="he-IL"/>
        </w:rPr>
        <w:t xml:space="preserve"> 2:171), noted in Clendenin, p. 136-137.</w:t>
      </w:r>
      <w:r w:rsidRPr="004F2665">
        <w:rPr>
          <w:rFonts w:asciiTheme="minorHAnsi" w:hAnsiTheme="minorHAnsi" w:cstheme="minorHAnsi"/>
          <w:sz w:val="20"/>
          <w:szCs w:val="20"/>
          <w:lang w:val="en-US"/>
        </w:rPr>
        <w:t xml:space="preserve"> </w:t>
      </w:r>
    </w:p>
  </w:footnote>
  <w:footnote w:id="202">
    <w:p w:rsidR="00E53BD1" w:rsidRPr="003949CB"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Слово</w:t>
      </w:r>
      <w:r w:rsidRPr="003949CB">
        <w:rPr>
          <w:rFonts w:asciiTheme="minorHAnsi" w:hAnsiTheme="minorHAnsi" w:cstheme="minorHAnsi"/>
          <w:lang w:val="en-US"/>
        </w:rPr>
        <w:t xml:space="preserve"> </w:t>
      </w:r>
      <w:r w:rsidRPr="004F2665">
        <w:rPr>
          <w:rFonts w:asciiTheme="minorHAnsi" w:hAnsiTheme="minorHAnsi" w:cstheme="minorHAnsi"/>
        </w:rPr>
        <w:t>об</w:t>
      </w:r>
      <w:r w:rsidRPr="003949CB">
        <w:rPr>
          <w:rFonts w:asciiTheme="minorHAnsi" w:hAnsiTheme="minorHAnsi" w:cstheme="minorHAnsi"/>
          <w:lang w:val="en-US"/>
        </w:rPr>
        <w:t xml:space="preserve"> </w:t>
      </w:r>
      <w:r w:rsidRPr="004F2665">
        <w:rPr>
          <w:rFonts w:asciiTheme="minorHAnsi" w:hAnsiTheme="minorHAnsi" w:cstheme="minorHAnsi"/>
        </w:rPr>
        <w:t>обожении</w:t>
      </w:r>
      <w:r w:rsidRPr="003949CB">
        <w:rPr>
          <w:rFonts w:asciiTheme="minorHAnsi" w:hAnsiTheme="minorHAnsi" w:cstheme="minorHAnsi"/>
          <w:lang w:val="en-US"/>
        </w:rPr>
        <w:t xml:space="preserve">, </w:t>
      </w:r>
      <w:r w:rsidRPr="004F2665">
        <w:rPr>
          <w:rFonts w:asciiTheme="minorHAnsi" w:hAnsiTheme="minorHAnsi" w:cstheme="minorHAnsi"/>
          <w:lang w:val="en-US"/>
        </w:rPr>
        <w:t>p</w:t>
      </w:r>
      <w:r w:rsidRPr="003949CB">
        <w:rPr>
          <w:rFonts w:asciiTheme="minorHAnsi" w:hAnsiTheme="minorHAnsi" w:cstheme="minorHAnsi"/>
          <w:lang w:val="en-US"/>
        </w:rPr>
        <w:t xml:space="preserve">. 19. </w:t>
      </w:r>
      <w:r w:rsidRPr="004F2665">
        <w:rPr>
          <w:rFonts w:asciiTheme="minorHAnsi" w:hAnsiTheme="minorHAnsi" w:cstheme="minorHAnsi"/>
          <w:lang w:val="en-US"/>
        </w:rPr>
        <w:t>Author</w:t>
      </w:r>
      <w:r w:rsidRPr="003949CB">
        <w:rPr>
          <w:rFonts w:asciiTheme="minorHAnsi" w:hAnsiTheme="minorHAnsi" w:cstheme="minorHAnsi"/>
          <w:lang w:val="en-US"/>
        </w:rPr>
        <w:t>’</w:t>
      </w:r>
      <w:r w:rsidRPr="004F2665">
        <w:rPr>
          <w:rFonts w:asciiTheme="minorHAnsi" w:hAnsiTheme="minorHAnsi" w:cstheme="minorHAnsi"/>
          <w:lang w:val="en-US"/>
        </w:rPr>
        <w:t>s</w:t>
      </w:r>
      <w:r w:rsidRPr="003949CB">
        <w:rPr>
          <w:rFonts w:asciiTheme="minorHAnsi" w:hAnsiTheme="minorHAnsi" w:cstheme="minorHAnsi"/>
          <w:lang w:val="en-US"/>
        </w:rPr>
        <w:t xml:space="preserve"> </w:t>
      </w:r>
      <w:r w:rsidRPr="004F2665">
        <w:rPr>
          <w:rFonts w:asciiTheme="minorHAnsi" w:hAnsiTheme="minorHAnsi" w:cstheme="minorHAnsi"/>
          <w:lang w:val="en-US"/>
        </w:rPr>
        <w:t>translation</w:t>
      </w:r>
      <w:r w:rsidRPr="003949CB">
        <w:rPr>
          <w:rFonts w:asciiTheme="minorHAnsi" w:hAnsiTheme="minorHAnsi" w:cstheme="minorHAnsi"/>
          <w:lang w:val="en-US"/>
        </w:rPr>
        <w:t>.</w:t>
      </w:r>
    </w:p>
  </w:footnote>
  <w:footnote w:id="203">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rPr>
        <w:t>Лосский</w:t>
      </w:r>
      <w:r w:rsidRPr="003949CB">
        <w:rPr>
          <w:rFonts w:asciiTheme="minorHAnsi" w:hAnsiTheme="minorHAnsi" w:cstheme="minorHAnsi"/>
          <w:lang w:val="en-US"/>
        </w:rPr>
        <w:t xml:space="preserve">, </w:t>
      </w:r>
      <w:r w:rsidRPr="004F2665">
        <w:rPr>
          <w:rFonts w:asciiTheme="minorHAnsi" w:hAnsiTheme="minorHAnsi" w:cstheme="minorHAnsi"/>
          <w:lang w:val="en-US"/>
        </w:rPr>
        <w:t>p</w:t>
      </w:r>
      <w:r w:rsidRPr="003949CB">
        <w:rPr>
          <w:rFonts w:asciiTheme="minorHAnsi" w:hAnsiTheme="minorHAnsi" w:cstheme="minorHAnsi"/>
          <w:lang w:val="en-US"/>
        </w:rPr>
        <w:t xml:space="preserve">. 67-68. </w:t>
      </w:r>
      <w:r w:rsidRPr="004F2665">
        <w:rPr>
          <w:rFonts w:asciiTheme="minorHAnsi" w:hAnsiTheme="minorHAnsi" w:cstheme="minorHAnsi"/>
          <w:lang w:val="en-US"/>
        </w:rPr>
        <w:t>Author’s translation.</w:t>
      </w:r>
    </w:p>
  </w:footnote>
  <w:footnote w:id="204">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See Florovsky, p. 216. </w:t>
      </w:r>
    </w:p>
  </w:footnote>
  <w:footnote w:id="205">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bidi="he-IL"/>
        </w:rPr>
        <w:t>Ibid., p. 259, 284.</w:t>
      </w:r>
      <w:r w:rsidRPr="004F2665">
        <w:rPr>
          <w:rFonts w:asciiTheme="minorHAnsi" w:hAnsiTheme="minorHAnsi" w:cstheme="minorHAnsi"/>
          <w:lang w:val="en-US"/>
        </w:rPr>
        <w:t xml:space="preserve"> </w:t>
      </w:r>
    </w:p>
  </w:footnote>
  <w:footnote w:id="206">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p. </w:t>
      </w:r>
      <w:r w:rsidRPr="004F2665">
        <w:rPr>
          <w:rFonts w:asciiTheme="minorHAnsi" w:hAnsiTheme="minorHAnsi" w:cstheme="minorHAnsi"/>
          <w:lang w:val="en-US" w:bidi="he-IL"/>
        </w:rPr>
        <w:t>221.</w:t>
      </w:r>
      <w:r w:rsidRPr="004F2665">
        <w:rPr>
          <w:rFonts w:asciiTheme="minorHAnsi" w:hAnsiTheme="minorHAnsi" w:cstheme="minorHAnsi"/>
          <w:lang w:val="en-US"/>
        </w:rPr>
        <w:t xml:space="preserve"> </w:t>
      </w:r>
    </w:p>
  </w:footnote>
  <w:footnote w:id="207">
    <w:p w:rsidR="00E53BD1" w:rsidRPr="004F2665"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 xml:space="preserve">Ibid., p. </w:t>
      </w:r>
      <w:r w:rsidRPr="004F2665">
        <w:rPr>
          <w:rFonts w:asciiTheme="minorHAnsi" w:hAnsiTheme="minorHAnsi" w:cstheme="minorHAnsi"/>
          <w:lang w:val="en-US" w:bidi="he-IL"/>
        </w:rPr>
        <w:t>243.</w:t>
      </w:r>
      <w:r w:rsidRPr="004F2665">
        <w:rPr>
          <w:rFonts w:asciiTheme="minorHAnsi" w:hAnsiTheme="minorHAnsi" w:cstheme="minorHAnsi"/>
          <w:lang w:val="en-US"/>
        </w:rPr>
        <w:t xml:space="preserve"> </w:t>
      </w:r>
    </w:p>
  </w:footnote>
  <w:footnote w:id="208">
    <w:p w:rsidR="00E53BD1" w:rsidRPr="003949CB" w:rsidRDefault="00E53BD1" w:rsidP="00E53BD1">
      <w:pPr>
        <w:pStyle w:val="FootnoteText"/>
        <w:rPr>
          <w:rFonts w:asciiTheme="minorHAnsi" w:hAnsiTheme="minorHAnsi" w:cstheme="minorHAnsi"/>
          <w:lang w:val="en-US"/>
        </w:rPr>
      </w:pPr>
      <w:r w:rsidRPr="004F2665">
        <w:rPr>
          <w:rStyle w:val="FootnoteReference"/>
          <w:rFonts w:asciiTheme="minorHAnsi" w:hAnsiTheme="minorHAnsi" w:cstheme="minorHAnsi"/>
        </w:rPr>
        <w:footnoteRef/>
      </w:r>
      <w:r w:rsidRPr="004F2665">
        <w:rPr>
          <w:rFonts w:asciiTheme="minorHAnsi" w:hAnsiTheme="minorHAnsi" w:cstheme="minorHAnsi"/>
          <w:lang w:val="en-US"/>
        </w:rPr>
        <w:t>Ibid</w:t>
      </w:r>
      <w:r w:rsidRPr="003949CB">
        <w:rPr>
          <w:rFonts w:asciiTheme="minorHAnsi" w:hAnsiTheme="minorHAnsi" w:cstheme="minorHAnsi"/>
          <w:lang w:val="en-US"/>
        </w:rPr>
        <w:t xml:space="preserve">., </w:t>
      </w:r>
      <w:r w:rsidRPr="004F2665">
        <w:rPr>
          <w:rFonts w:asciiTheme="minorHAnsi" w:hAnsiTheme="minorHAnsi" w:cstheme="minorHAnsi"/>
          <w:lang w:val="en-US"/>
        </w:rPr>
        <w:t>p</w:t>
      </w:r>
      <w:r w:rsidRPr="003949CB">
        <w:rPr>
          <w:rFonts w:asciiTheme="minorHAnsi" w:hAnsiTheme="minorHAnsi" w:cstheme="minorHAnsi"/>
          <w:lang w:val="en-US"/>
        </w:rPr>
        <w:t xml:space="preserve">. </w:t>
      </w:r>
      <w:r w:rsidRPr="003949CB">
        <w:rPr>
          <w:rFonts w:asciiTheme="minorHAnsi" w:hAnsiTheme="minorHAnsi" w:cstheme="minorHAnsi"/>
          <w:lang w:val="en-US" w:bidi="he-IL"/>
        </w:rPr>
        <w:t>242.</w:t>
      </w:r>
      <w:r w:rsidRPr="003949CB">
        <w:rPr>
          <w:rFonts w:asciiTheme="minorHAnsi" w:hAnsiTheme="minorHAnsi" w:cstheme="minorHAnsi"/>
          <w:lang w:val="en-US"/>
        </w:rPr>
        <w:t xml:space="preserve"> </w:t>
      </w:r>
    </w:p>
  </w:footnote>
  <w:footnote w:id="209">
    <w:p w:rsidR="00E53BD1" w:rsidRPr="004F2665" w:rsidRDefault="00E53BD1" w:rsidP="00E53BD1">
      <w:pPr>
        <w:rPr>
          <w:rFonts w:asciiTheme="minorHAnsi" w:hAnsiTheme="minorHAnsi" w:cstheme="minorHAnsi"/>
          <w:sz w:val="20"/>
          <w:szCs w:val="20"/>
        </w:rPr>
      </w:pPr>
      <w:r w:rsidRPr="004F2665">
        <w:rPr>
          <w:rStyle w:val="FootnoteReference"/>
          <w:rFonts w:asciiTheme="minorHAnsi" w:hAnsiTheme="minorHAnsi" w:cstheme="minorHAnsi"/>
          <w:szCs w:val="20"/>
        </w:rPr>
        <w:footnoteRef/>
      </w:r>
      <w:r w:rsidRPr="004F2665">
        <w:rPr>
          <w:rFonts w:asciiTheme="minorHAnsi" w:hAnsiTheme="minorHAnsi" w:cstheme="minorHAnsi"/>
          <w:sz w:val="20"/>
          <w:szCs w:val="20"/>
          <w:lang w:bidi="he-IL"/>
        </w:rPr>
        <w:t xml:space="preserve">Лосский,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xml:space="preserve">. 25-27; Иларион А. Таинство Веры. – М.: Издательство Братства Святителя Тихона, 1996. –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xml:space="preserve">. 222; Мейендорф, </w:t>
      </w:r>
      <w:r w:rsidRPr="004F2665">
        <w:rPr>
          <w:rFonts w:asciiTheme="minorHAnsi" w:hAnsiTheme="minorHAnsi" w:cstheme="minorHAnsi"/>
          <w:sz w:val="20"/>
          <w:szCs w:val="20"/>
          <w:lang w:val="en-US" w:bidi="he-IL"/>
        </w:rPr>
        <w:t>p</w:t>
      </w:r>
      <w:r w:rsidRPr="004F2665">
        <w:rPr>
          <w:rFonts w:asciiTheme="minorHAnsi" w:hAnsiTheme="minorHAnsi" w:cstheme="minorHAnsi"/>
          <w:sz w:val="20"/>
          <w:szCs w:val="20"/>
          <w:lang w:bidi="he-IL"/>
        </w:rPr>
        <w:t>. 303.</w:t>
      </w:r>
      <w:r w:rsidRPr="004F2665">
        <w:rPr>
          <w:rFonts w:asciiTheme="minorHAnsi" w:hAnsiTheme="minorHAnsi" w:cstheme="minorHAnsi"/>
          <w:sz w:val="20"/>
          <w:szCs w:val="20"/>
        </w:rPr>
        <w:t xml:space="preserv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2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38D"/>
    <w:rsid w:val="00151793"/>
    <w:rsid w:val="001B3E81"/>
    <w:rsid w:val="0023606F"/>
    <w:rsid w:val="0027038D"/>
    <w:rsid w:val="0028539F"/>
    <w:rsid w:val="002E353F"/>
    <w:rsid w:val="008E1587"/>
    <w:rsid w:val="00947568"/>
    <w:rsid w:val="00A247D3"/>
    <w:rsid w:val="00B853DF"/>
    <w:rsid w:val="00DA4483"/>
    <w:rsid w:val="00E53BD1"/>
    <w:rsid w:val="00F759D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3065DA-5E36-4150-AB7F-8E18C8E51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038D"/>
    <w:rPr>
      <w:rFonts w:ascii="Times New Roman" w:eastAsia="Times New Roman" w:hAnsi="Times New Roman" w:cs="Times New Roman"/>
      <w:lang w:val="ru-RU" w:eastAsia="ru-RU" w:bidi="ar-SA"/>
    </w:rPr>
  </w:style>
  <w:style w:type="paragraph" w:styleId="Heading2">
    <w:name w:val="heading 2"/>
    <w:basedOn w:val="Normal"/>
    <w:next w:val="Normal"/>
    <w:link w:val="Heading2Char"/>
    <w:unhideWhenUsed/>
    <w:qFormat/>
    <w:rsid w:val="008E1587"/>
    <w:pPr>
      <w:keepNext/>
      <w:keepLines/>
      <w:spacing w:before="40"/>
      <w:jc w:val="center"/>
      <w:outlineLvl w:val="1"/>
    </w:pPr>
    <w:rPr>
      <w:rFonts w:asciiTheme="majorBidi" w:eastAsiaTheme="majorEastAsia" w:hAnsiTheme="majorBidi" w:cstheme="majorBidi"/>
      <w:b/>
      <w:szCs w:val="26"/>
    </w:rPr>
  </w:style>
  <w:style w:type="paragraph" w:styleId="Heading3">
    <w:name w:val="heading 3"/>
    <w:basedOn w:val="Normal"/>
    <w:next w:val="Normal"/>
    <w:link w:val="Heading3Char"/>
    <w:unhideWhenUsed/>
    <w:qFormat/>
    <w:rsid w:val="0027038D"/>
    <w:pPr>
      <w:keepNext/>
      <w:keepLines/>
      <w:spacing w:before="40"/>
      <w:outlineLvl w:val="2"/>
    </w:pPr>
    <w:rPr>
      <w:rFonts w:asciiTheme="minorHAnsi" w:eastAsiaTheme="majorEastAsia" w:hAnsiTheme="minorHAnsi" w:cstheme="majorBid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E1587"/>
    <w:rPr>
      <w:rFonts w:asciiTheme="majorBidi" w:eastAsiaTheme="majorEastAsia" w:hAnsiTheme="majorBidi" w:cstheme="majorBidi"/>
      <w:b/>
      <w:sz w:val="24"/>
      <w:szCs w:val="26"/>
      <w:lang w:val="ru-RU" w:eastAsia="ru-RU" w:bidi="ar-SA"/>
    </w:rPr>
  </w:style>
  <w:style w:type="character" w:customStyle="1" w:styleId="Heading3Char">
    <w:name w:val="Heading 3 Char"/>
    <w:basedOn w:val="DefaultParagraphFont"/>
    <w:link w:val="Heading3"/>
    <w:rsid w:val="0027038D"/>
    <w:rPr>
      <w:rFonts w:eastAsiaTheme="majorEastAsia" w:cstheme="majorBidi"/>
      <w:b/>
      <w:lang w:val="ru-RU" w:eastAsia="ru-RU" w:bidi="ar-SA"/>
    </w:rPr>
  </w:style>
  <w:style w:type="paragraph" w:styleId="FootnoteText">
    <w:name w:val="footnote text"/>
    <w:basedOn w:val="Normal"/>
    <w:link w:val="FootnoteTextChar"/>
    <w:rsid w:val="0027038D"/>
    <w:rPr>
      <w:sz w:val="20"/>
      <w:szCs w:val="20"/>
    </w:rPr>
  </w:style>
  <w:style w:type="character" w:customStyle="1" w:styleId="FootnoteTextChar">
    <w:name w:val="Footnote Text Char"/>
    <w:basedOn w:val="DefaultParagraphFont"/>
    <w:link w:val="FootnoteText"/>
    <w:rsid w:val="0027038D"/>
    <w:rPr>
      <w:rFonts w:ascii="Times New Roman" w:eastAsia="Times New Roman" w:hAnsi="Times New Roman" w:cs="Times New Roman"/>
      <w:sz w:val="20"/>
      <w:szCs w:val="20"/>
      <w:lang w:val="ru-RU" w:eastAsia="ru-RU" w:bidi="ar-SA"/>
    </w:rPr>
  </w:style>
  <w:style w:type="character" w:styleId="FootnoteReference">
    <w:name w:val="footnote reference"/>
    <w:rsid w:val="0027038D"/>
    <w:rPr>
      <w:rFonts w:ascii="Times New Roman" w:hAnsi="Times New Roman"/>
      <w:sz w:val="20"/>
      <w:vertAlign w:val="superscript"/>
    </w:rPr>
  </w:style>
  <w:style w:type="character" w:customStyle="1" w:styleId="text">
    <w:name w:val="text"/>
    <w:basedOn w:val="DefaultParagraphFont"/>
    <w:rsid w:val="002703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12701</Words>
  <Characters>72401</Characters>
  <Application>Microsoft Office Word</Application>
  <DocSecurity>0</DocSecurity>
  <Lines>603</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and Nancy Wespetal</dc:creator>
  <cp:keywords/>
  <dc:description/>
  <cp:lastModifiedBy>Tom and Nancy Wespetal</cp:lastModifiedBy>
  <cp:revision>4</cp:revision>
  <dcterms:created xsi:type="dcterms:W3CDTF">2025-01-20T00:02:00Z</dcterms:created>
  <dcterms:modified xsi:type="dcterms:W3CDTF">2025-01-21T22:50:00Z</dcterms:modified>
</cp:coreProperties>
</file>